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b414770c5414d95" /><Relationship Type="http://schemas.openxmlformats.org/package/2006/relationships/metadata/core-properties" Target="/package/services/metadata/core-properties/709d95e4cd4f40a3ba3431ce17a3efd5.psmdcp" Id="R07fbcefdd02b414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Pünktliches Massaker liefert Vorwand für den[...] Krieg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Immer, wenn der Westen einen Vorwand braucht, einen Überfall der UNO oder NATO auf ein souveränes Land zu rechtfertigen;&amp;nbsp;</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Immer, wenn der Westen</w:t>
        <w:br/>
        <w:t xml:space="preserve">einen Vorwand braucht,</w:t>
        <w:br/>
        <w:t xml:space="preserve">einen Überfall der UNO oder</w:t>
        <w:br/>
        <w:t xml:space="preserve">NATO auf ein souveränes</w:t>
        <w:br/>
        <w:t xml:space="preserve">Land zu rechtfertigen; immer,</w:t>
        <w:br/>
        <w:t xml:space="preserve">wenn eine Sitzung des</w:t>
        <w:br/>
        <w:t xml:space="preserve">UN-Sicherheitsrates bevorsteht,</w:t>
        <w:br/>
        <w:t xml:space="preserve">werden „friedliche Demonstranten“</w:t>
        <w:br/>
        <w:t xml:space="preserve">vom „Assad-</w:t>
        <w:br/>
        <w:t xml:space="preserve">Regime“ beschossen. Obwohl</w:t>
        <w:br/>
        <w:t xml:space="preserve">es keinerlei Beweise</w:t>
        <w:br/>
        <w:t xml:space="preserve">gibt, geben unsere Politiker</w:t>
        <w:br/>
        <w:t xml:space="preserve">kurzfristig über die Massenmedien</w:t>
        <w:br/>
        <w:t xml:space="preserve">einseitig der syrischen</w:t>
        <w:br/>
        <w:t xml:space="preserve">Regierung die Schuld</w:t>
        <w:br/>
        <w:t xml:space="preserve">an allem. Es verhält sich</w:t>
        <w:br/>
        <w:t xml:space="preserve">auffallend ähnlich wie kurz</w:t>
        <w:br/>
        <w:t xml:space="preserve">vor dem Libyen-Krieg: Dieselben</w:t>
        <w:br/>
        <w:t xml:space="preserve">Drahtzieher von damals</w:t>
        <w:br/>
        <w:t xml:space="preserve">gründeten nach dem</w:t>
        <w:br/>
        <w:t xml:space="preserve">Massenmord in Al-Hula die</w:t>
        <w:br/>
        <w:t xml:space="preserve">„Konferenz der Freunde des</w:t>
        <w:br/>
        <w:t xml:space="preserve">syrischen Volkes“ und gaben</w:t>
        <w:br/>
        <w:t xml:space="preserve">in der Tagesschau vom</w:t>
        <w:br/>
        <w:t xml:space="preserve">29.05.12 eindeutig zu verstehen,</w:t>
        <w:br/>
        <w:t xml:space="preserve">dass der Druck der internationalen</w:t>
        <w:br/>
        <w:t xml:space="preserve">Gemeinschaft auf</w:t>
        <w:br/>
        <w:t xml:space="preserve">Assad verstärkt werden müsse.</w:t>
        <w:br/>
        <w:t xml:space="preserve">Dass der US-Generalstabschef</w:t>
        <w:br/>
        <w:t xml:space="preserve">Martin Dempsey öffentlich</w:t>
        <w:br/>
        <w:t xml:space="preserve">ein militärisches</w:t>
        <w:br/>
        <w:t xml:space="preserve">Vorgehen gegen Syrien erwägt</w:t>
        <w:br/>
        <w:t xml:space="preserve">und weltweit syrische</w:t>
        <w:br/>
        <w:t xml:space="preserve">Botschafter ausgewiesen</w:t>
        <w:br/>
        <w:t xml:space="preserve">werden, verwundert unter</w:t>
        <w:br/>
        <w:t xml:space="preserve">diesem Gesichtspunkt dann</w:t>
        <w:br/>
        <w:t xml:space="preserve">auch nicht mehr.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em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http://hinter-derfichte</w:t>
        </w:r>
      </w:hyperlink>
      <w:r w:rsidRPr="002B28C8">
        <w:t xml:space="preserve">. blogspot.de/2012/05/syrienpunktliches-massaker-liefert.html </w:t>
        <w:rPr>
          <w:sz w:val="18"/>
        </w:rPr>
      </w:r>
      <w:hyperlink w:history="true" r:id="rId22">
        <w:r w:rsidRPr="00F24C6F">
          <w:rPr>
            <w:rStyle w:val="Hyperlink"/>
          </w:rPr>
          <w:rPr>
            <w:sz w:val="18"/>
          </w:rPr>
          <w:t>http://www.handelsblatt.com/politik/</w:t>
        </w:r>
      </w:hyperlink>
      <w:r w:rsidRPr="002B28C8">
        <w:t xml:space="preserve">international/us-staatsverschuldungmit-15-033-867-390-294-dollar-inder-kreide/5856952.html</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3">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Pünktliches Massaker liefert Vorwand für den[...] Krieg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www.kla.tv/200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15.09.2012</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hinter-derfichte" TargetMode="External" Id="rId21" /><Relationship Type="http://schemas.openxmlformats.org/officeDocument/2006/relationships/hyperlink" Target="http://www.handelsblatt.com/politik/" TargetMode="External" Id="rId22" /><Relationship Type="http://schemas.openxmlformats.org/officeDocument/2006/relationships/hyperlink" Target="https://www.kla.tv/Medienkommentar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0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0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Pünktliches Massaker liefert Vorwand für den[...] Krieg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