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499af33c574daf" /><Relationship Type="http://schemas.openxmlformats.org/package/2006/relationships/metadata/core-properties" Target="/package/services/metadata/core-properties/bc24a5e159454025ba41e53040867c3d.psmdcp" Id="Rd779225bdb6144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Medicación para la diabetes: ¿ayuda para quién?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autor de un libro de medicina, Uwe Karstädt, muestra cómo se puede curar la diabetes 2. En nuestro sistema sanitario, ¿se tienen más en cuenta los intereses económicos de la industria farmacéutica que la recuperación de los pacientes?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Uwe Karstädt es un médico alternativo y un conocido autor de medicina. En su libro "Vencer a la diabetes 2 para siempre" muestra formas de curar la diabetes. En este libro aborda temas como por ejemplo suministro adecuado de minerales, vitaminas y líquidos, reducción del azúcar y relación con las vacunas y el estrés.</w:t>
        <w:br/>
        <w:t xml:space="preserve">Nuestro sistema sanitario apenas menciona estos y otros tratamientos similares. Administran principalmente los productos de la industria farmacéutica. ¿Será que aquí también se tienen más en cuenta los intereses económicos de la industria farmacéutica que una recuperación efectiva y duradera de los pacientes?</w:t>
        <w:br/>
        <w:t xml:space="preserve"/>
        <w:br/>
        <w:t xml:space="preserve">Nuestro sistema sanitario apenas menciona estos y otros tratamientos similares.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Buch: „Diabetes 2 für immer besiegen“ von Uwe Karstädt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Medicación para la diabetes: ¿ayuda para quién?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www.kla.tv/20573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15.11.2021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57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5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Medicación para la diabetes: ¿ayuda para quién?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