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d1bc32b0c034bcb" /><Relationship Type="http://schemas.openxmlformats.org/package/2006/relationships/metadata/core-properties" Target="/package/services/metadata/core-properties/049ca2119dca44cf934043dfd8e3aa88.psmdcp" Id="R517ffef7cabf4f6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Krankheiten nach Maß</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Pharmaindustrie hat die Nachweisführung für Medikamente immer mehr in der Hand und kontrolliert ausnahmslos alle medizinischen Studien...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Pharmaindustrie hat die</w:t>
        <w:br/>
        <w:t xml:space="preserve">Nachweisführung für Medikamente</w:t>
        <w:br/>
        <w:t xml:space="preserve">immer mehr in der Hand und kontrolliert ausnahmslos alle medizinischen</w:t>
        <w:br/>
        <w:t xml:space="preserve">Studien. Die im Wettbewerb stehen</w:t>
        <w:br/>
        <w:t xml:space="preserve">den Firmen haben ein Interesse daran,</w:t>
        <w:br/>
        <w:t xml:space="preserve">dass die Diagnostik-Kriterien immer</w:t>
        <w:br/>
        <w:t xml:space="preserve">weiter entwickelt werden. Vor allem</w:t>
        <w:br/>
        <w:t xml:space="preserve">was die Definition der Werte einer</w:t>
        <w:br/>
        <w:t xml:space="preserve">Krankheit, also Symptome, Messwerte, Dauer usw., anbelangt. Je</w:t>
        <w:br/>
        <w:t xml:space="preserve">nachdem mit welchen Werten man</w:t>
        <w:br/>
        <w:t xml:space="preserve">z.B. Bluthochdruck definiert, steigt</w:t>
        <w:br/>
        <w:t xml:space="preserve">oder sinkt die Anzahl der Patienten.</w:t>
        <w:br/>
        <w:t xml:space="preserve">Als die Cholesterinrichtlinien 2001</w:t>
        <w:br/>
        <w:t xml:space="preserve">im größeren Umfang erneuert wurden, waren 9 der 14 Mitglieder der</w:t>
        <w:br/>
        <w:t xml:space="preserve">zuständigen Kommission, die die</w:t>
        <w:br/>
        <w:t xml:space="preserve">Standardwerte in den USA festlegte,</w:t>
        <w:br/>
        <w:t xml:space="preserve">in finanziellen Beziehungen mit</w:t>
        <w:br/>
        <w:t xml:space="preserve">Pharmaunternehmen verwickelt.</w:t>
        <w:br/>
        <w:t xml:space="preserve">Aufgrund dieser neuen Richtlinie</w:t>
        <w:br/>
        <w:t xml:space="preserve">stieg die Anzahl der für eine Therapie empfohlenen Amerikaner von</w:t>
        <w:br/>
        <w:t xml:space="preserve">13 Mio. auf 36 Mio. an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http://www.youtube.com/watch?v=poAUD57ce7s&amp;hd=1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Krankheiten nach Maß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www.kla.tv/2091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poAUD57ce7s&amp;hd=1"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9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Krankheiten nach Maß</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