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a6a37ed3d4044ff" /><Relationship Type="http://schemas.openxmlformats.org/package/2006/relationships/metadata/core-properties" Target="/package/services/metadata/core-properties/19215b15d8914fb682a4b44e48144efc.psmdcp" Id="Raf5039c7f893446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Nein zur amerikanischen Überwachung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27. September 2013 haben die eidgenössischen Räte auf Antrag des Bundesrates das Fatca-Abkommen mit den Vereinigten Staaten genehmigt...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27. September 2013</w:t>
        <w:br/>
        <w:t xml:space="preserve">haben die eidgenössischen Räte</w:t>
        <w:br/>
        <w:t xml:space="preserve">auf Antrag des Bundesrates das</w:t>
        <w:br/>
        <w:t xml:space="preserve">Fatca-Abkommen mit den Vereinigten Staaten genehmigt. Fatca</w:t>
        <w:br/>
        <w:t xml:space="preserve">(Foreign Account Tax Compli</w:t>
        <w:br/>
        <w:t xml:space="preserve">ance Act) ist ein neues US-ameri</w:t>
        <w:br/>
        <w:t xml:space="preserve">kanisches Gesetz, mit dem Prä</w:t>
        <w:br/>
        <w:t xml:space="preserve">sident Obama die Steuerhinter</w:t>
        <w:br/>
        <w:t xml:space="preserve">ziehung seiner Bürger im Aus</w:t>
        <w:br/>
        <w:t xml:space="preserve">land verhindern will. Fatca will</w:t>
        <w:br/>
        <w:t xml:space="preserve">alle ausländischen Banken – nicht</w:t>
        <w:br/>
        <w:t xml:space="preserve">nur schweizerische – als Erfül</w:t>
        <w:br/>
        <w:t xml:space="preserve">lungsgehilfen unter amerikani</w:t>
        <w:br/>
        <w:t xml:space="preserve">sches Recht zwingen. Durch</w:t>
        <w:br/>
        <w:t xml:space="preserve">dieses Abkommen erhält die Er</w:t>
        <w:br/>
        <w:t xml:space="preserve">füllung amerikanischer Regeln</w:t>
        <w:br/>
        <w:t xml:space="preserve">Priorität über dem Schweizer</w:t>
        <w:br/>
        <w:t xml:space="preserve">Recht – in völligem Wider</w:t>
        <w:br/>
        <w:t xml:space="preserve">spruch zur nationalen Souverä</w:t>
        <w:br/>
        <w:t xml:space="preserve">nität. Die Schweiz würde sich</w:t>
        <w:br/>
        <w:t xml:space="preserve">zukünftigen Revisionen des ame</w:t>
        <w:br/>
        <w:t xml:space="preserve">rikanischen Steuerrechts unter</w:t>
        <w:br/>
        <w:t xml:space="preserve">werfen: ohne Vetorecht und oh</w:t>
        <w:br/>
        <w:t xml:space="preserve">ne Möglichkeit eines Referen</w:t>
        <w:br/>
        <w:t xml:space="preserve">dums. Um Steuerhinterziehun</w:t>
        <w:br/>
        <w:t xml:space="preserve">gen zu bekämpfen, kann das</w:t>
        <w:br/>
        <w:t xml:space="preserve">Bankgeheimnis heute bereits auf</w:t>
        <w:br/>
        <w:t xml:space="preserve">gehoben werden. Somit dient</w:t>
        <w:br/>
        <w:t xml:space="preserve">Fatca einzig dazu, den USA zu</w:t>
        <w:br/>
        <w:t xml:space="preserve">ermöglichen, möglichst alle Bür</w:t>
        <w:br/>
        <w:t xml:space="preserve">ger, sogar Schweizer, systema</w:t>
        <w:br/>
        <w:t xml:space="preserve">tisch und automatisch zu überwa</w:t>
        <w:br/>
        <w:t xml:space="preserve">chen – also ein weiterer Angriff</w:t>
        <w:br/>
        <w:t xml:space="preserve">auf die Privatsphäre. Es ist</w:t>
        <w:br/>
        <w:t xml:space="preserve">höchste Zeit, zu diesen einsei</w:t>
        <w:br/>
        <w:t xml:space="preserve">tigen Forderungen der USA mu</w:t>
        <w:br/>
        <w:t xml:space="preserve">tig NEIN zu sagen und die Sou-</w:t>
        <w:br/>
        <w:t xml:space="preserve">veränität und Unabhängigkeit</w:t>
        <w:br/>
        <w:t xml:space="preserve">der Schweiz zu stärken. Darum</w:t>
        <w:br/>
        <w:t xml:space="preserve">empfehlen wir das Referendum</w:t>
        <w:br/>
        <w:t xml:space="preserve">gegen Fatca zu unterschreiben.</w:t>
        <w:br/>
        <w:t xml:space="preserve">Der Ablauf der Referendums</w:t>
        <w:br/>
        <w:t xml:space="preserve">frist ist der 16. Januar 2014.</w:t>
        <w:br/>
        <w:t xml:space="preserve">Referendumsbögen können auf</w:t>
        <w:br/>
        <w:t xml:space="preserve">www.stop-fatca.ch herunterge</w:t>
        <w:br/>
        <w:t xml:space="preserve">laden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mbr.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Zeitung: Schweizerzeit vom 6.12.2013, „Wir sind nicht Erfüllungsgehilfen der US-Regierung“ </w:t>
        <w:rPr>
          <w:sz w:val="18"/>
        </w:rPr>
      </w:r>
      <w:hyperlink w:history="true" r:id="rId21">
        <w:r w:rsidRPr="00F24C6F">
          <w:rPr>
            <w:rStyle w:val="Hyperlink"/>
          </w:rPr>
          <w:rPr>
            <w:sz w:val="18"/>
          </w:rPr>
          <w:t>http://www.stop-fatca.ch/?page_id=20&amp;lang=de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Nein zur amerikanischen Überwachung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www.kla.tv/2115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top-fatca.ch/?page_id=20&amp;lang=d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1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Nein zur amerikanischen Überwachung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