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9a85734eec485a" /><Relationship Type="http://schemas.openxmlformats.org/package/2006/relationships/metadata/core-properties" Target="/package/services/metadata/core-properties/1d47106b57074c14b082d2165ddea65a.psmdcp" Id="R66a7d2cc9f9846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Macht der Israel-Lobby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Zur „erfolgreichsten Lobby Washingtons“
(Zitat von Bill Clinton)gehören Organisationen wie das AIPAC...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Zur „erfolgreichsten Lobby Washingtons“</w:t>
        <w:br/>
        <w:t xml:space="preserve">(Zitat von Bill Clinton)</w:t>
        <w:br/>
        <w:t xml:space="preserve">gehören Organisationen wie das</w:t>
        <w:br/>
        <w:t xml:space="preserve">AIPAC (American Israel Public</w:t>
        <w:br/>
        <w:t xml:space="preserve">Affairs Committee), das Israel Policy</w:t>
        <w:br/>
        <w:t xml:space="preserve">Forum (IPF), der American</w:t>
        <w:br/>
        <w:t xml:space="preserve">Jewish Congress (AJC) und die</w:t>
        <w:br/>
        <w:t xml:space="preserve">Anti Defamation League (ADL).</w:t>
        <w:br/>
        <w:t xml:space="preserve">[…] Wenn bei der Jahreshauptversammlung</w:t>
        <w:br/>
        <w:t xml:space="preserve">des AIPAC die Namen</w:t>
        <w:br/>
        <w:t xml:space="preserve">der Sympathisanten in der amerikanischen</w:t>
        <w:br/>
        <w:t xml:space="preserve">Politik verlesen werden,</w:t>
        <w:br/>
        <w:t xml:space="preserve">dauert das fast eine halbe Stunde.</w:t>
        <w:br/>
        <w:t xml:space="preserve">Seit Jahren stehen, unabhängig</w:t>
        <w:br/>
        <w:t xml:space="preserve">von der Parteizugehörigkeit des</w:t>
        <w:br/>
        <w:t xml:space="preserve">jeweiligen Präsidenten, die Mehrheit</w:t>
        <w:br/>
        <w:t xml:space="preserve">der Senatsmitglieder, ein</w:t>
        <w:br/>
        <w:t xml:space="preserve">Viertel des Repräsentantenhauses</w:t>
        <w:br/>
        <w:t xml:space="preserve">[…] und mehr als 50 Botschafter</w:t>
        <w:br/>
        <w:t xml:space="preserve">und Dutzende Regierungsbeamte</w:t>
        <w:br/>
        <w:t xml:space="preserve">auf der Liste. Der frühere Präsident</w:t>
        <w:br/>
        <w:t xml:space="preserve">Jimmy Carter resümierte im</w:t>
        <w:br/>
        <w:t xml:space="preserve">Februar 2007: „Für ein Mitglied</w:t>
        <w:br/>
        <w:t xml:space="preserve">des Kongresses, das wiedergewählt</w:t>
        <w:br/>
        <w:t xml:space="preserve">werden will, ist es fast politischer</w:t>
        <w:br/>
        <w:t xml:space="preserve">Selbstmord, eine Position</w:t>
        <w:br/>
        <w:t xml:space="preserve">zu vertreten, die als Gegenkurs</w:t>
        <w:br/>
        <w:t xml:space="preserve">zur konservativen israelischen Regierung</w:t>
        <w:br/>
        <w:t xml:space="preserve">ausgelegt werden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Compact Magazin 10/2013, „Obama ist Bush“, S. 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Macht der Israel-Lobby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www.kla.tv/2287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Macht der Israel-Lobby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