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acadfd24474728" /><Relationship Type="http://schemas.openxmlformats.org/package/2006/relationships/metadata/core-properties" Target="/package/services/metadata/core-properties/71b01dbb72c941cf8764a517e692701b.psmdcp" Id="R8c377e30fa424e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Milliardengeschäfte mit der Hartz-IV-Maschine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Bundesregierung finanziert mit jährlich 5,3 Milliarden Euro Steuermitteln Subventionen, Förder- und Qualifizierungsprogramme für Dauerarbeitslose.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Bundesregierung finanziert mit jährlich 5,3 Milliarden Euro Steuermitteln Subventionen, Förder- und Qualifizierungsprogramme für „nicht mehr Vermittelbare“, also Dauerarbeitslose. Hier einige Beispiele:</w:t>
        <w:br/>
        <w:t xml:space="preserve">Rechtswesen: Hartz-IV Empfänger sind willkommene Mandanten für Rechtsanwälte, denn im Fall einer Klage kommt ihr Honorar vom Staat über Prozesskostenhilfe.</w:t>
        <w:br/>
        <w:t xml:space="preserve">Wohnungswirtschaft: Ebenso erhalten Wohnungsvermieter ihre Miete pünktlich vom Amt, wenn sie Hartz-IV Empfänger aufnehmen.</w:t>
        <w:br/>
        <w:t xml:space="preserve">Lebensmittelspenden: Die Sachzuwendungen der Supermärkte an die örtliche Tafel, wo Ware mit ablaufendem Haltbarkeitsdatum für Bedürftige bereitgestellt wird, beinhalten nicht nur kostenlose Lebensmittel. Die</w:t>
        <w:br/>
        <w:t xml:space="preserve">Spendenquittungen sind zu 100% von der Steuer absetzbar, die teuren Entsorgungskosten für vergammelte Ware übernehmen die Tafeln.</w:t>
        <w:br/>
        <w:t xml:space="preserve">Berufliche Fortbildung: Gemeinnützige Bildungsträger kassieren monatlich 500-800 € pro Teilnehmer für „Maßnahmen“, Arbeitslose in einen geregelten Tagesablauf zu integrieren. 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www.3sat.de/mediathek/?Display=1&amp;mode=play&amp;obj=29491</w:t>
        </w:r>
      </w:hyperlink>
      <w:r w:rsidRPr="002B28C8">
        <w:t xml:space="preserve">3sat.online: Die Hartz-Maschine - Geschäfte mit der Arbeitslosigkeit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Milliardengeschäfte mit der Hartz-IV-Maschine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3sat.de/mediathek/?Display=1&amp;mode=play&amp;obj=29491"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Milliardengeschäfte mit der Hartz-IV-Maschine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