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aa68bc9ae245e6" /><Relationship Type="http://schemas.openxmlformats.org/package/2006/relationships/metadata/core-properties" Target="/package/services/metadata/core-properties/c69a193cc2ff4c6a9566944d436dcacf.psmdcp" Id="Rc25c9a6ccbb445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Septuple supériorité – L’homme, un être multiple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Nous ne connaissons la notion de « personnalité multiple » que dans le domaine psychiatrique. Mais en déduire que les gens à « personnalités multiples » sont exclusivement des personnes malades, c‘est une erreur fatale. » Tout comme nous pouvons télécharger d'innombrables applications et programmes fantastiques sur nos téléphones portables et nos ordinateurs, rien ne nous est plus impossible dans l'esprit. Ivo Sasek explique notamment comment on en arrive à une capacité de défense de 7 pour 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Septuple supériorité – L’homme, un être multiple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www.kla.tv/23155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Septuple supériorité – L’homme, un être multiple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