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391d0e35734555" /><Relationship Type="http://schemas.openxmlformats.org/package/2006/relationships/metadata/core-properties" Target="/package/services/metadata/core-properties/79cef04e75db42d29ccdf041835c1a09.psmdcp" Id="R767a4e3e44b544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New turbo toxin: sugar substitute isoglucose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Conventional sugar in food products is increasingly being replaced in the EU by Isoglucose. Several studies prove, that grave ailments are caused by this foreign substance.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Unnoticed by the public, conventional sugar in food products in the EU is being replaced by isoglucose, which is widespread in the US.</w:t>
        <w:br/>
        <w:t xml:space="preserve"/>
        <w:br/>
        <w:t xml:space="preserve"/>
        <w:br/>
        <w:t xml:space="preserve">Isoglucose, often declared as fructose and glucose syrup, is an artificially produced industrial sugar syrup used in chocolate, bread, baked goods and pasta, candy or barbecue sauces.</w:t>
        <w:br/>
        <w:t xml:space="preserve"/>
        <w:br/>
        <w:t xml:space="preserve">According to US researcher Kathleen Page from Yale University, isoglucose causes numerous ailments in everyday life, including diabetes, obesity, abdominal cramps, nausea, flatulence, diarrhea or headaches.</w:t>
        <w:br/>
        <w:t xml:space="preserve">Various studies document cancer, infertility, Alzheimer's, Parkinson's and depression, too.</w:t>
        <w:br/>
        <w:t xml:space="preserve"/>
        <w:br/>
        <w:t xml:space="preserve"/>
        <w:br/>
        <w:t xml:space="preserve">Scientists at the University of California in Los Angeles are finding gene changes in various studies document cancer, infertility, Alzheimer's, Parkinson's and depression, too.</w:t>
        <w:br/>
        <w:t xml:space="preserve"/>
        <w:br/>
        <w:t xml:space="preserve"/>
        <w:br/>
        <w:t xml:space="preserve">Scientists at the University of California in Los Angeles are finding gene changes in experiments with rats. Is the population to be deliberately made ill or even to be reduced?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https://www.krankenkassenzentrale.de/wiki/isoglukose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New turbo toxin: sugar substitute isoglucose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www.kla.tv/23717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26.09.2022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ankenkassenzentrale.de/wiki/isoglukos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turbo toxin: sugar substitute isoglucose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