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cf28b18d7c4702" /><Relationship Type="http://schemas.openxmlformats.org/package/2006/relationships/metadata/core-properties" Target="/package/services/metadata/core-properties/b5c7d798162e4579ace5d4ed1517e453.psmdcp" Id="R830096c11cf843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Spaniens Banken finanzieren mit EU-Geldern[...] hoch verschuldete Fußballclubs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Fünf Milliarden Euro sollen laut Tagesanzeiger die Gesamtschulden der spanischen Liga betragen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Fünf Milliarden Euro sollen</w:t>
        <w:br/>
        <w:t xml:space="preserve">laut Tagesanzeiger die Gesamtschulden</w:t>
        <w:br/>
        <w:t xml:space="preserve">der spanischen Liga betragen.</w:t>
        <w:br/>
        <w:t xml:space="preserve">Allein die Spitzenclubs</w:t>
        <w:br/>
        <w:t xml:space="preserve">Real Madrid und Barcelona bringen</w:t>
        <w:br/>
        <w:t xml:space="preserve">es auf ein Minus von 660</w:t>
        <w:br/>
        <w:t xml:space="preserve">und 548 Millionen. Und trotzdem</w:t>
        <w:br/>
        <w:t xml:space="preserve">haben sie von Banken immer</w:t>
        <w:br/>
        <w:t xml:space="preserve">wieder zinsgünstige Kredite</w:t>
        <w:br/>
        <w:t xml:space="preserve">erhalten, um ihre Star-Einkäufe</w:t>
        <w:br/>
        <w:t xml:space="preserve">zu tätigen. Möglich wurde dies</w:t>
        <w:br/>
        <w:t xml:space="preserve">einzig durch die Verfilzung von</w:t>
        <w:br/>
        <w:t xml:space="preserve">Fußball, Politik und Banken.</w:t>
        <w:br/>
        <w:t xml:space="preserve">Auf den Punkt gebracht könnte</w:t>
        <w:br/>
        <w:t xml:space="preserve">man auch sagen: Letztlich finanzieren</w:t>
        <w:br/>
        <w:t xml:space="preserve">Europas Steuerzahler den</w:t>
        <w:br/>
        <w:t xml:space="preserve">Lohn von Starfußballern, die so</w:t>
        <w:br/>
        <w:t xml:space="preserve">zwischen 10,5–13 Millionen</w:t>
        <w:br/>
        <w:t xml:space="preserve">€/Jahr verdienen. Und wem</w:t>
        <w:br/>
        <w:t xml:space="preserve">schulden wir letztlich auch hier</w:t>
        <w:br/>
        <w:t xml:space="preserve">wieder alles? – Den Banken!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8.6.2012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#Spanien - </w:t>
      </w:r>
      <w:hyperlink w:history="true" r:id="rId21">
        <w:r w:rsidRPr="00F24C6F">
          <w:rPr>
            <w:rStyle w:val="Hyperlink"/>
          </w:rPr>
          <w:t>www.kla.tv/Spanien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Spaniens Banken finanzieren mit EU-Geldern[...] hoch verschuldete Fußballclubs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pan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Spaniens Banken finanzieren mit EU-Geldern[...] hoch verschuldete Fußballclubs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