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48ac9ab2ee45bf" /><Relationship Type="http://schemas.openxmlformats.org/package/2006/relationships/metadata/core-properties" Target="/package/services/metadata/core-properties/1c69dccc8d134900b521db719c08ab6d.psmdcp" Id="Rad4f367458ce40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israelische Regierung handelt nicht im Namen der Juden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Günter Grass im April 2012 mit seinem Gedicht „Was gesagt werden muss“ darauf hinwies, die Atommacht Israel gefährde „den ohnehin brüchigen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Günter Grass im April</w:t>
        <w:br/>
        <w:t xml:space="preserve">2012 mit seinem Gedicht „Was</w:t>
        <w:br/>
        <w:t xml:space="preserve">gesagt werden muss“ darauf hinwies,</w:t>
        <w:br/>
        <w:t xml:space="preserve">die Atommacht Israel gefährde</w:t>
        <w:br/>
        <w:t xml:space="preserve">„den ohnehin brüchigen</w:t>
        <w:br/>
        <w:t xml:space="preserve">Weltfrieden“, wurde er in allen</w:t>
        <w:br/>
        <w:t xml:space="preserve">Medien sofort des Antisemitismus’</w:t>
        <w:br/>
        <w:t xml:space="preserve">bezichtigt.* Daraufhin äußerten</w:t>
        <w:br/>
        <w:t xml:space="preserve">sich Intellektuelle zu</w:t>
        <w:br/>
        <w:t xml:space="preserve">Wort, deren Kommentare heute</w:t>
        <w:br/>
        <w:t xml:space="preserve">aktueller sind denn je.</w:t>
        <w:br/>
        <w:t xml:space="preserve">Der in Tel Aviv geborene Philosoph</w:t>
        <w:br/>
        <w:t xml:space="preserve">und sozialistische Aktivist</w:t>
        <w:br/>
        <w:t xml:space="preserve">Moshé Machover weist darauf</w:t>
        <w:br/>
        <w:t xml:space="preserve">hin, dass Grass in seinem Gedicht</w:t>
        <w:br/>
        <w:t xml:space="preserve">nicht die Juden, sondern</w:t>
        <w:br/>
        <w:t xml:space="preserve">den Staat Israel kritisiere. „Dies</w:t>
        <w:br/>
        <w:t xml:space="preserve">könnte nur dann als ‚antijüdisch’</w:t>
        <w:br/>
        <w:t xml:space="preserve">verstanden werden“, so Machover,</w:t>
        <w:br/>
        <w:t xml:space="preserve">„wenn man den irrigen Anspruch</w:t>
        <w:br/>
        <w:t xml:space="preserve">des Staates Israel akzeptiert,</w:t>
        <w:br/>
        <w:t xml:space="preserve">dass er alle Juden</w:t>
        <w:br/>
        <w:t xml:space="preserve">repräsentiert und in ihrem Namen</w:t>
        <w:br/>
        <w:t xml:space="preserve">handelt.“ Yakov M. Rabkin,</w:t>
        <w:br/>
        <w:t xml:space="preserve">Professor für Geschichte an</w:t>
        <w:br/>
        <w:t xml:space="preserve">der Universität von Montreal,</w:t>
        <w:br/>
        <w:t xml:space="preserve">sagte, dass „der Staat Israel,</w:t>
        <w:br/>
        <w:t xml:space="preserve">nicht der Iran, regelmäßig seine</w:t>
        <w:br/>
        <w:t xml:space="preserve">Nachbarn angreift und ein nukleares</w:t>
        <w:br/>
        <w:t xml:space="preserve">Arsenal besitzt. Es ist</w:t>
        <w:br/>
        <w:t xml:space="preserve">Israel – nicht der Iran“, so Rabkin</w:t>
        <w:br/>
        <w:t xml:space="preserve">weiter, „das nicht nur den</w:t>
        <w:br/>
        <w:t xml:space="preserve">Mittleren Osten bedroht, sondern</w:t>
        <w:br/>
        <w:t xml:space="preserve">die Juden in der ganzen</w:t>
        <w:br/>
        <w:t xml:space="preserve">Welt, denen fälschlicherweise</w:t>
        <w:br/>
        <w:t xml:space="preserve">für das, was Israel ist und tut,</w:t>
        <w:br/>
        <w:t xml:space="preserve">Vorwürfe gemacht werden.“</w:t>
        <w:br/>
        <w:t xml:space="preserve">Auch Professor Enzo Traverso,</w:t>
        <w:br/>
        <w:t xml:space="preserve">italienischer Historiker und</w:t>
        <w:br/>
        <w:t xml:space="preserve">Journalist, weist auf die paradoxe</w:t>
        <w:br/>
        <w:t xml:space="preserve">Situation in Bezug auf die</w:t>
        <w:br/>
        <w:t xml:space="preserve">israelische Politik hin: „Für einen</w:t>
        <w:br/>
        <w:t xml:space="preserve">Großteil der westlichen Medien</w:t>
        <w:br/>
        <w:t xml:space="preserve">ist der Skandal nicht die</w:t>
        <w:br/>
        <w:t xml:space="preserve">israelische Politik, sondern die</w:t>
        <w:br/>
        <w:t xml:space="preserve">Haltung derer, die […] sie anzuprangern</w:t>
        <w:br/>
        <w:t xml:space="preserve">wagen. Man darf</w:t>
        <w:br/>
        <w:t xml:space="preserve">aber nicht schweigen angesichts</w:t>
        <w:br/>
        <w:t xml:space="preserve">der Heuchelei, die jede Kritik an</w:t>
        <w:br/>
        <w:t xml:space="preserve">der Politik der israelischen Regierung</w:t>
        <w:br/>
        <w:t xml:space="preserve">für antisemitisch erklärt.“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http://www.hintergrund.de/201204062011/feuilleton/zeitfragen/was-auch-noch-gesagt-werden-muss.html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israelische Regierung handelt nicht im Namen der Juden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intergrund.de/201204062011/feuilleton/zeitfragen/was-auch-noch-gesagt-werden-muss.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israelische Regierung handelt nicht im Namen der Juden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