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1BA1" w14:textId="77777777" w:rsidR="00F27954" w:rsidRDefault="000023E9" w:rsidP="00F27954">
      <w:pPr>
        <w:widowControl w:val="0"/>
        <w:spacing w:after="120"/>
        <w:rPr>
          <w:rFonts w:ascii="Arial" w:hAnsi="Arial" w:cs="Arial"/>
          <w:noProof/>
        </w:rPr>
      </w:pPr>
      <w:r>
        <w:rPr>
          <w:rFonts w:ascii="Arial" w:hAnsi="Arial" w:cs="Arial"/>
          <w:noProof/>
          <w:sz w:val="18"/>
          <w:szCs w:val="18"/>
        </w:rPr>
        <w:drawing>
          <wp:anchor distT="0" distB="71755" distL="144145" distR="114300" simplePos="0" relativeHeight="251662336" behindDoc="1" locked="0" layoutInCell="1" allowOverlap="1" wp14:anchorId="3A0E3161" wp14:editId="4D892C1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AFADF5D" w14:textId="149467C8" w:rsidR="00F27954" w:rsidRDefault="00F67ED1" w:rsidP="00F27954">
      <w:pPr>
        <w:widowControl w:val="0"/>
        <w:spacing w:after="120"/>
        <w:rPr>
          <w:rStyle w:val="texttitelsize"/>
          <w:rFonts w:ascii="Arial" w:hAnsi="Arial" w:cs="Arial"/>
          <w:sz w:val="44"/>
          <w:szCs w:val="44"/>
        </w:rPr>
      </w:pPr>
      <w:r w:rsidRPr="00F27954">
        <w:rPr>
          <w:rFonts w:ascii="Arial" w:hAnsi="Arial" w:cs="Arial"/>
          <w:noProof/>
          <w:sz w:val="44"/>
          <w:szCs w:val="44"/>
        </w:rPr>
        <w:drawing>
          <wp:anchor distT="0" distB="0" distL="114300" distR="114300" simplePos="0" relativeHeight="251658240" behindDoc="1" locked="0" layoutInCell="1" allowOverlap="1" wp14:anchorId="226DE7CB" wp14:editId="6D62245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F27954">
        <w:rPr>
          <w:rStyle w:val="texttitelsize"/>
          <w:rFonts w:ascii="Arial" w:hAnsi="Arial" w:cs="Arial"/>
          <w:sz w:val="44"/>
          <w:szCs w:val="44"/>
        </w:rPr>
        <w:t>Pandemie van de gevaccineerden –</w:t>
      </w:r>
    </w:p>
    <w:p w14:paraId="5BAC12CE" w14:textId="19966DB1" w:rsidR="00F27954" w:rsidRPr="00F27954" w:rsidRDefault="00B9284F" w:rsidP="00F67ED1">
      <w:pPr>
        <w:widowControl w:val="0"/>
        <w:spacing w:after="160"/>
        <w:rPr>
          <w:rStyle w:val="texttitelsize"/>
          <w:rFonts w:ascii="Arial" w:hAnsi="Arial" w:cs="Arial"/>
          <w:sz w:val="44"/>
          <w:szCs w:val="44"/>
        </w:rPr>
      </w:pPr>
      <w:r w:rsidRPr="00F27954">
        <w:rPr>
          <w:rStyle w:val="texttitelsize"/>
          <w:rFonts w:ascii="Arial" w:hAnsi="Arial" w:cs="Arial"/>
          <w:sz w:val="44"/>
          <w:szCs w:val="44"/>
        </w:rPr>
        <w:t xml:space="preserve">de odyssee is begonnen </w:t>
      </w:r>
    </w:p>
    <w:p w14:paraId="15673692" w14:textId="0FEEEAA2" w:rsidR="00101F75" w:rsidRPr="00F27954" w:rsidRDefault="00B9284F" w:rsidP="00F67ED1">
      <w:pPr>
        <w:widowControl w:val="0"/>
        <w:spacing w:after="160"/>
        <w:rPr>
          <w:rStyle w:val="texttitelsize"/>
          <w:rFonts w:ascii="Arial" w:hAnsi="Arial" w:cs="Arial"/>
          <w:sz w:val="32"/>
          <w:szCs w:val="32"/>
        </w:rPr>
      </w:pPr>
      <w:r w:rsidRPr="00F27954">
        <w:rPr>
          <w:rStyle w:val="texttitelsize"/>
          <w:rFonts w:ascii="Arial" w:hAnsi="Arial" w:cs="Arial"/>
          <w:sz w:val="32"/>
          <w:szCs w:val="32"/>
        </w:rPr>
        <w:t>(door Kla.TV-oprichter Ivo Sasek)</w:t>
      </w:r>
    </w:p>
    <w:p w14:paraId="33A53CB5" w14:textId="77777777" w:rsidR="00A71903" w:rsidRPr="00C534E6" w:rsidRDefault="00A71903" w:rsidP="00F213A8">
      <w:pPr>
        <w:widowControl w:val="0"/>
        <w:spacing w:after="160"/>
        <w:jc w:val="both"/>
        <w:rPr>
          <w:rStyle w:val="edit"/>
          <w:rFonts w:ascii="Arial" w:hAnsi="Arial" w:cs="Arial"/>
          <w:b/>
          <w:color w:val="000000"/>
        </w:rPr>
      </w:pPr>
      <w:r w:rsidRPr="00C534E6">
        <w:rPr>
          <w:rStyle w:val="edit"/>
          <w:rFonts w:ascii="Arial" w:hAnsi="Arial" w:cs="Arial"/>
          <w:b/>
          <w:color w:val="000000"/>
        </w:rPr>
        <w:t>Menigten vaccinatieslachtoffers dwalen dwars door het zogenaamde gezondheidssysteem, reizen van de ene stad naar de andere, omdat de ziekenfondsen iedere betaling weigeren voor hun “niet-erkende ziekten” - tenzij de vaccinatieslachtoffers bereid zijn verschrikkelijke leugens te vertellen ... Een zwijgschandaal veroorzaakt door de STIKO dat in de openbaarheid thuishoort!</w:t>
      </w:r>
    </w:p>
    <w:p w14:paraId="0D21FCFE"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Op dit moment dwalen miljoenen slachtoffers van het covid-vaccin gekweld over de wereld, op zoek naar hulp, maar niemand geeft hen die. Op de laatste plaats de STIKO, d.w.z. DE PERMANENTE VACCINATIECOMMISSIE, die ruime vaccinatieaanbevelingen voor de hele bevolking heeft uitgevaardigd.</w:t>
      </w:r>
    </w:p>
    <w:p w14:paraId="2120C1F1"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Het hoofd van de STIKO raadt alle vaccinatieslachtoffers aan om te zwijgen over iedere samenhang tussen hun letsel en vaccinaties, zodat ze geholpen kunnen worden. Maar ook dit is slechts theorie en boerenbedrog.</w:t>
      </w:r>
    </w:p>
    <w:p w14:paraId="102DCC39"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Er is namelijk geen enkel aanspreekpunt voor vaccinatieslachtoffers. Dat is feit. Ze moeten alle onderzoeken zelf betalen, omdat hun vaccinatieschade niet als ziekte wordt erkend. Het hoofd van de STIKO zegt dus hoogstpersoonlijk dat er helemaal geen probleem is voor mensen met vaccinatieschade als ze geen enkele samenhang leggen met een vaccinatie. Hoe eerlijk is dat? Hij onthult dus waarom er zo weinig vaccinatieschade wordt geregistreerd. En de minister van Volksgezondheid rechtvaardigt ook het ontbreken van aanspreekpunten voor mensen met vaccinatieschade.</w:t>
      </w:r>
    </w:p>
    <w:p w14:paraId="78343AFE"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Op dit moment dwalen, gedeeltelijk al twee jaar lang, miljoenen mensen met vaccinatieschade door het zogenaamde gezondheidssysteem. Ze reizen van de ene stad naar de andere, omdat ze nergens meer geaccepteerd worden voor behandeling en diagnose en omdat de ziekenfondsen niet instaan voor de behandeling van de niet-erkende ziekte. Begrijpen jullie?</w:t>
      </w:r>
    </w:p>
    <w:p w14:paraId="0D755BFC"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 xml:space="preserve">Het Paul Ehrlich Instituut in Duitsland en de EMA in Europa erkennen met name COVID-19 vaccinatieschade niet als een ziekte vanwege de diffuse klinische beelden.  Zo ver is het nu. De hele last wordt nu gelegd bij de slachtoffers en artsen. Bijvoorbeeld door Thomas Mertens, het hoofd van de STIKO hoogstpersoonlijk. Hij legt nu de hele verantwoordelijkheid voor het probleem van de getroffenen die niet geholpen worden op de schouders van de klinische geneeskunde. Die moet “een ziektegevaldefinitie opstellen”. </w:t>
      </w:r>
    </w:p>
    <w:p w14:paraId="72153071" w14:textId="13EB6E94"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En dan komt het toppunt. Ik citeer hem letterlijk</w:t>
      </w:r>
      <w:r w:rsidR="00A51394">
        <w:rPr>
          <w:rStyle w:val="Voetnootmarkering"/>
          <w:rFonts w:ascii="Arial" w:hAnsi="Arial" w:cs="Arial"/>
          <w:color w:val="000000"/>
        </w:rPr>
        <w:footnoteReference w:id="1"/>
      </w:r>
      <w:r w:rsidRPr="00C534E6">
        <w:rPr>
          <w:rStyle w:val="edit"/>
          <w:rFonts w:ascii="Arial" w:hAnsi="Arial" w:cs="Arial"/>
          <w:color w:val="000000"/>
        </w:rPr>
        <w:t>: “</w:t>
      </w:r>
      <w:r w:rsidRPr="00F213A8">
        <w:rPr>
          <w:rStyle w:val="edit"/>
          <w:rFonts w:ascii="Arial" w:hAnsi="Arial" w:cs="Arial"/>
          <w:i/>
          <w:iCs/>
          <w:color w:val="000000"/>
        </w:rPr>
        <w:t xml:space="preserve">Wat ik niet helemaal begrijp is waarom bij de behandeling van deze ziekte de kosten in principe niet gedekt worden door de ziekenfondsen. Als iemand, als u (zegt hij tegen een getroffene) nu bijvoorbeeld naar de dokter was </w:t>
      </w:r>
      <w:r w:rsidRPr="00F213A8">
        <w:rPr>
          <w:rStyle w:val="edit"/>
          <w:rFonts w:ascii="Arial" w:hAnsi="Arial" w:cs="Arial"/>
          <w:i/>
          <w:iCs/>
          <w:color w:val="000000"/>
        </w:rPr>
        <w:lastRenderedPageBreak/>
        <w:t xml:space="preserve">gegaan, en niet meteen met het inzicht dat het een </w:t>
      </w:r>
      <w:r w:rsidR="00F213A8" w:rsidRPr="00F213A8">
        <w:rPr>
          <w:rStyle w:val="edit"/>
          <w:rFonts w:ascii="Arial" w:hAnsi="Arial" w:cs="Arial"/>
          <w:i/>
          <w:iCs/>
          <w:color w:val="000000"/>
        </w:rPr>
        <w:t xml:space="preserve">… </w:t>
      </w:r>
      <w:r w:rsidRPr="00F213A8">
        <w:rPr>
          <w:rStyle w:val="edit"/>
          <w:rFonts w:ascii="Arial" w:hAnsi="Arial" w:cs="Arial"/>
          <w:i/>
          <w:iCs/>
          <w:color w:val="000000"/>
        </w:rPr>
        <w:t>door vaccinatie teweeggebrachte klacht was, dan zouden die behandelingen die daarop zouden volgen zeker door de ziekenfondsen gewoonlijk worden gedekt.</w:t>
      </w:r>
      <w:r w:rsidRPr="00C534E6">
        <w:rPr>
          <w:rStyle w:val="edit"/>
          <w:rFonts w:ascii="Arial" w:hAnsi="Arial" w:cs="Arial"/>
          <w:color w:val="000000"/>
        </w:rPr>
        <w:t>”</w:t>
      </w:r>
    </w:p>
    <w:p w14:paraId="6A3CE6FE"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br/>
        <w:t>In de korte denkpauze kon je letterlijk het lelijke woord “vaccinatieschade” horen vermijden. Met deze aanbeveling geeft het hoofd van STIKO toe dat er een sterke, regelgevende stimulans is voor mensen met vaccinatieschade om hun symptomen niet in samenhang te brengen met een vaccinatie. Anders worden ze gestraft met een weigering tot kostenovername. En zo zakken miljoenen zieken over de hele wereld weg in een opzettelijk geplande chaos - zonder enige hulp, zonder enige macht, zonder enig recht.</w:t>
      </w:r>
    </w:p>
    <w:p w14:paraId="235FBB69" w14:textId="6CC55AE5" w:rsidR="00A51394" w:rsidRDefault="00F67ED1" w:rsidP="00F213A8">
      <w:pPr>
        <w:spacing w:after="160"/>
        <w:jc w:val="both"/>
        <w:rPr>
          <w:rStyle w:val="edit"/>
          <w:rFonts w:ascii="Arial" w:hAnsi="Arial" w:cs="Arial"/>
          <w:color w:val="000000"/>
        </w:rPr>
      </w:pPr>
      <w:r w:rsidRPr="00C534E6">
        <w:rPr>
          <w:rStyle w:val="edit"/>
          <w:rFonts w:ascii="Arial" w:hAnsi="Arial" w:cs="Arial"/>
          <w:color w:val="000000"/>
        </w:rPr>
        <w:t>En dit is hoe de chaotische omstandigheden zich momenteel verder in getallen ontwikkelen. Op dit punt is het echter belangrijk om in gedachten te houden dat deze cijfers, zoals altijd, moeten worden begrepen zonder enig grijs cijfer. Volgens deskundigen, dat wil zeggen specifieke vakstudies over grijze cijfers, zou men minstens één nul moeten toevoegen aan de volgende cijfers, en sommigen zelfs twee nullen:</w:t>
      </w:r>
    </w:p>
    <w:p w14:paraId="33C3DC6C" w14:textId="77777777" w:rsidR="00A51394" w:rsidRPr="00A51394" w:rsidRDefault="00A51394" w:rsidP="00A51394">
      <w:pPr>
        <w:suppressAutoHyphens/>
        <w:spacing w:after="0" w:line="240" w:lineRule="auto"/>
        <w:rPr>
          <w:rFonts w:ascii="Times New Roman" w:eastAsia="Times New Roman" w:hAnsi="Times New Roman" w:cs="Times New Roman"/>
          <w:sz w:val="24"/>
          <w:szCs w:val="24"/>
        </w:rPr>
      </w:pPr>
    </w:p>
    <w:tbl>
      <w:tblPr>
        <w:tblW w:w="0" w:type="auto"/>
        <w:tblCellSpacing w:w="0" w:type="dxa"/>
        <w:tblLayout w:type="fixed"/>
        <w:tblCellMar>
          <w:top w:w="15" w:type="dxa"/>
          <w:left w:w="15" w:type="dxa"/>
          <w:bottom w:w="15" w:type="dxa"/>
          <w:right w:w="15" w:type="dxa"/>
        </w:tblCellMar>
        <w:tblLook w:val="0000" w:firstRow="0" w:lastRow="0" w:firstColumn="0" w:lastColumn="0" w:noHBand="0" w:noVBand="0"/>
      </w:tblPr>
      <w:tblGrid>
        <w:gridCol w:w="5055"/>
        <w:gridCol w:w="1047"/>
        <w:gridCol w:w="1291"/>
        <w:gridCol w:w="844"/>
        <w:gridCol w:w="992"/>
      </w:tblGrid>
      <w:tr w:rsidR="00A51394" w:rsidRPr="00A51394" w14:paraId="258B5FAA" w14:textId="77777777" w:rsidTr="0062755F">
        <w:trPr>
          <w:trHeight w:val="585"/>
          <w:tblCellSpacing w:w="0" w:type="dxa"/>
        </w:trPr>
        <w:tc>
          <w:tcPr>
            <w:tcW w:w="5055" w:type="dxa"/>
            <w:tcBorders>
              <w:top w:val="single" w:sz="6" w:space="0" w:color="000000"/>
            </w:tcBorders>
            <w:vAlign w:val="center"/>
          </w:tcPr>
          <w:p w14:paraId="7BEBF033" w14:textId="77777777" w:rsidR="00A51394" w:rsidRPr="00A51394" w:rsidRDefault="00A51394" w:rsidP="00A51394">
            <w:pPr>
              <w:spacing w:after="0" w:line="240" w:lineRule="auto"/>
              <w:rPr>
                <w:rFonts w:ascii="Times New Roman" w:eastAsia="Times New Roman" w:hAnsi="Times New Roman" w:cs="Times New Roman"/>
                <w:sz w:val="20"/>
                <w:szCs w:val="20"/>
              </w:rPr>
            </w:pPr>
          </w:p>
        </w:tc>
        <w:tc>
          <w:tcPr>
            <w:tcW w:w="2338" w:type="dxa"/>
            <w:gridSpan w:val="2"/>
            <w:tcBorders>
              <w:top w:val="single" w:sz="6" w:space="0" w:color="000000"/>
            </w:tcBorders>
          </w:tcPr>
          <w:p w14:paraId="256AD3FB"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aantal</w:t>
            </w:r>
          </w:p>
        </w:tc>
        <w:tc>
          <w:tcPr>
            <w:tcW w:w="1836" w:type="dxa"/>
            <w:gridSpan w:val="2"/>
          </w:tcPr>
          <w:p w14:paraId="0E531CF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frequentie</w:t>
            </w:r>
          </w:p>
        </w:tc>
      </w:tr>
      <w:tr w:rsidR="00A51394" w:rsidRPr="00A51394" w14:paraId="11C2A962" w14:textId="77777777" w:rsidTr="0062755F">
        <w:trPr>
          <w:trHeight w:val="270"/>
          <w:tblCellSpacing w:w="0" w:type="dxa"/>
        </w:trPr>
        <w:tc>
          <w:tcPr>
            <w:tcW w:w="5055" w:type="dxa"/>
          </w:tcPr>
          <w:p w14:paraId="6EE1C31D" w14:textId="77777777" w:rsidR="00A51394" w:rsidRPr="00A51394" w:rsidRDefault="00A51394" w:rsidP="00A51394">
            <w:pPr>
              <w:spacing w:after="0" w:line="240" w:lineRule="auto"/>
              <w:rPr>
                <w:rFonts w:ascii="Times New Roman" w:eastAsia="Times New Roman" w:hAnsi="Times New Roman" w:cs="Times New Roman"/>
                <w:sz w:val="20"/>
                <w:szCs w:val="20"/>
              </w:rPr>
            </w:pPr>
          </w:p>
        </w:tc>
        <w:tc>
          <w:tcPr>
            <w:tcW w:w="1047" w:type="dxa"/>
            <w:vAlign w:val="bottom"/>
          </w:tcPr>
          <w:p w14:paraId="66071EE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sz w:val="20"/>
                <w:szCs w:val="20"/>
              </w:rPr>
              <w:t>3 mei 2023</w:t>
            </w:r>
          </w:p>
        </w:tc>
        <w:tc>
          <w:tcPr>
            <w:tcW w:w="1291" w:type="dxa"/>
            <w:vAlign w:val="bottom"/>
          </w:tcPr>
          <w:p w14:paraId="3A38749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sz w:val="20"/>
                <w:szCs w:val="20"/>
              </w:rPr>
              <w:t>3 mei 2021</w:t>
            </w:r>
          </w:p>
        </w:tc>
        <w:tc>
          <w:tcPr>
            <w:tcW w:w="844" w:type="dxa"/>
            <w:vAlign w:val="bottom"/>
          </w:tcPr>
          <w:p w14:paraId="22DD3F9D" w14:textId="77777777" w:rsidR="00A51394" w:rsidRPr="00A51394" w:rsidRDefault="00A51394" w:rsidP="00A51394">
            <w:pPr>
              <w:spacing w:after="0" w:line="240" w:lineRule="auto"/>
              <w:jc w:val="center"/>
              <w:rPr>
                <w:rFonts w:ascii="Times New Roman" w:eastAsia="Times New Roman" w:hAnsi="Times New Roman" w:cs="Times New Roman"/>
                <w:color w:val="FF00FF"/>
                <w:sz w:val="20"/>
                <w:szCs w:val="20"/>
              </w:rPr>
            </w:pPr>
            <w:r w:rsidRPr="00A51394">
              <w:rPr>
                <w:rFonts w:ascii="Times New Roman" w:eastAsia="Times New Roman" w:hAnsi="Times New Roman" w:cs="Times New Roman"/>
                <w:color w:val="FF00FF"/>
                <w:sz w:val="20"/>
                <w:szCs w:val="20"/>
              </w:rPr>
              <w:t>Relatief</w:t>
            </w:r>
          </w:p>
        </w:tc>
        <w:tc>
          <w:tcPr>
            <w:tcW w:w="992" w:type="dxa"/>
            <w:vAlign w:val="bottom"/>
          </w:tcPr>
          <w:p w14:paraId="1CDE2874"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sz w:val="20"/>
                <w:szCs w:val="20"/>
              </w:rPr>
              <w:t>%</w:t>
            </w:r>
          </w:p>
        </w:tc>
      </w:tr>
      <w:tr w:rsidR="00A51394" w:rsidRPr="00A51394" w14:paraId="554D4554" w14:textId="77777777" w:rsidTr="0062755F">
        <w:trPr>
          <w:trHeight w:val="285"/>
          <w:tblCellSpacing w:w="0" w:type="dxa"/>
        </w:trPr>
        <w:tc>
          <w:tcPr>
            <w:tcW w:w="5055" w:type="dxa"/>
          </w:tcPr>
          <w:p w14:paraId="73E8D3C3"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Bloedziekten en ziekten van het lymfatische systeem</w:t>
            </w:r>
          </w:p>
        </w:tc>
        <w:tc>
          <w:tcPr>
            <w:tcW w:w="1047" w:type="dxa"/>
          </w:tcPr>
          <w:p w14:paraId="4610E4C3"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6B6B6B"/>
                <w:sz w:val="20"/>
                <w:szCs w:val="20"/>
              </w:rPr>
              <w:t>217784</w:t>
            </w:r>
          </w:p>
        </w:tc>
        <w:tc>
          <w:tcPr>
            <w:tcW w:w="1291" w:type="dxa"/>
          </w:tcPr>
          <w:p w14:paraId="1124EFA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2584S</w:t>
            </w:r>
          </w:p>
        </w:tc>
        <w:tc>
          <w:tcPr>
            <w:tcW w:w="844" w:type="dxa"/>
          </w:tcPr>
          <w:p w14:paraId="510B635D"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7,43</w:t>
            </w:r>
          </w:p>
        </w:tc>
        <w:tc>
          <w:tcPr>
            <w:tcW w:w="992" w:type="dxa"/>
          </w:tcPr>
          <w:p w14:paraId="3CEFC45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123,20</w:t>
            </w:r>
          </w:p>
        </w:tc>
      </w:tr>
      <w:tr w:rsidR="00A51394" w:rsidRPr="00A51394" w14:paraId="6F1C20AF" w14:textId="77777777" w:rsidTr="0062755F">
        <w:trPr>
          <w:trHeight w:val="300"/>
          <w:tblCellSpacing w:w="0" w:type="dxa"/>
        </w:trPr>
        <w:tc>
          <w:tcPr>
            <w:tcW w:w="5055" w:type="dxa"/>
          </w:tcPr>
          <w:p w14:paraId="10699909"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 xml:space="preserve">Lymfadenopathie </w:t>
            </w:r>
          </w:p>
        </w:tc>
        <w:tc>
          <w:tcPr>
            <w:tcW w:w="1047" w:type="dxa"/>
          </w:tcPr>
          <w:p w14:paraId="3E20A8DD"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6B6B6B"/>
                <w:sz w:val="20"/>
                <w:szCs w:val="20"/>
              </w:rPr>
              <w:t>179149</w:t>
            </w:r>
          </w:p>
        </w:tc>
        <w:tc>
          <w:tcPr>
            <w:tcW w:w="1291" w:type="dxa"/>
          </w:tcPr>
          <w:p w14:paraId="05FB01C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Courier New" w:eastAsia="Times New Roman" w:hAnsi="Courier New" w:cs="Courier New"/>
                <w:color w:val="4F4F4F"/>
                <w:sz w:val="20"/>
                <w:szCs w:val="20"/>
              </w:rPr>
              <w:t>22011</w:t>
            </w:r>
          </w:p>
        </w:tc>
        <w:tc>
          <w:tcPr>
            <w:tcW w:w="844" w:type="dxa"/>
          </w:tcPr>
          <w:p w14:paraId="097FDA7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7,14</w:t>
            </w:r>
          </w:p>
        </w:tc>
        <w:tc>
          <w:tcPr>
            <w:tcW w:w="992" w:type="dxa"/>
          </w:tcPr>
          <w:p w14:paraId="08EC5F99"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118,43</w:t>
            </w:r>
          </w:p>
        </w:tc>
      </w:tr>
      <w:tr w:rsidR="00A51394" w:rsidRPr="00A51394" w14:paraId="76A4CE20" w14:textId="77777777" w:rsidTr="0062755F">
        <w:trPr>
          <w:trHeight w:val="285"/>
          <w:tblCellSpacing w:w="0" w:type="dxa"/>
        </w:trPr>
        <w:tc>
          <w:tcPr>
            <w:tcW w:w="5055" w:type="dxa"/>
          </w:tcPr>
          <w:p w14:paraId="251ECAF1"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Thromboyztopenie</w:t>
            </w:r>
          </w:p>
        </w:tc>
        <w:tc>
          <w:tcPr>
            <w:tcW w:w="1047" w:type="dxa"/>
          </w:tcPr>
          <w:p w14:paraId="295C52A6"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15638</w:t>
            </w:r>
          </w:p>
        </w:tc>
        <w:tc>
          <w:tcPr>
            <w:tcW w:w="1291" w:type="dxa"/>
          </w:tcPr>
          <w:p w14:paraId="55DB6EA3"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1690</w:t>
            </w:r>
          </w:p>
        </w:tc>
        <w:tc>
          <w:tcPr>
            <w:tcW w:w="844" w:type="dxa"/>
          </w:tcPr>
          <w:p w14:paraId="5E30563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8,25</w:t>
            </w:r>
          </w:p>
        </w:tc>
        <w:tc>
          <w:tcPr>
            <w:tcW w:w="992" w:type="dxa"/>
          </w:tcPr>
          <w:p w14:paraId="7F68E84D"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136,91</w:t>
            </w:r>
          </w:p>
        </w:tc>
      </w:tr>
      <w:tr w:rsidR="00A51394" w:rsidRPr="00A51394" w14:paraId="12BA9086" w14:textId="77777777" w:rsidTr="0062755F">
        <w:trPr>
          <w:trHeight w:val="285"/>
          <w:tblCellSpacing w:w="0" w:type="dxa"/>
        </w:trPr>
        <w:tc>
          <w:tcPr>
            <w:tcW w:w="5055" w:type="dxa"/>
          </w:tcPr>
          <w:p w14:paraId="2B84A114"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Hartziekten</w:t>
            </w:r>
          </w:p>
        </w:tc>
        <w:tc>
          <w:tcPr>
            <w:tcW w:w="1047" w:type="dxa"/>
          </w:tcPr>
          <w:p w14:paraId="1A24550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304957</w:t>
            </w:r>
          </w:p>
        </w:tc>
        <w:tc>
          <w:tcPr>
            <w:tcW w:w="1291" w:type="dxa"/>
          </w:tcPr>
          <w:p w14:paraId="7EDFDD4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23695</w:t>
            </w:r>
          </w:p>
        </w:tc>
        <w:tc>
          <w:tcPr>
            <w:tcW w:w="844" w:type="dxa"/>
          </w:tcPr>
          <w:p w14:paraId="6D394C9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11,87</w:t>
            </w:r>
          </w:p>
        </w:tc>
        <w:tc>
          <w:tcPr>
            <w:tcW w:w="992" w:type="dxa"/>
          </w:tcPr>
          <w:p w14:paraId="4A3C9F5D"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196,92</w:t>
            </w:r>
          </w:p>
        </w:tc>
      </w:tr>
      <w:tr w:rsidR="00A51394" w:rsidRPr="00A51394" w14:paraId="21A3CBE8" w14:textId="77777777" w:rsidTr="0062755F">
        <w:trPr>
          <w:trHeight w:val="285"/>
          <w:tblCellSpacing w:w="0" w:type="dxa"/>
        </w:trPr>
        <w:tc>
          <w:tcPr>
            <w:tcW w:w="5055" w:type="dxa"/>
          </w:tcPr>
          <w:p w14:paraId="1A472113"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Myocarditis</w:t>
            </w:r>
          </w:p>
        </w:tc>
        <w:tc>
          <w:tcPr>
            <w:tcW w:w="1047" w:type="dxa"/>
          </w:tcPr>
          <w:p w14:paraId="35CC98D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44293</w:t>
            </w:r>
          </w:p>
        </w:tc>
        <w:tc>
          <w:tcPr>
            <w:tcW w:w="1291" w:type="dxa"/>
          </w:tcPr>
          <w:p w14:paraId="050F4546"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963</w:t>
            </w:r>
          </w:p>
        </w:tc>
        <w:tc>
          <w:tcPr>
            <w:tcW w:w="844" w:type="dxa"/>
          </w:tcPr>
          <w:p w14:paraId="35E13C83"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44,99</w:t>
            </w:r>
          </w:p>
        </w:tc>
        <w:tc>
          <w:tcPr>
            <w:tcW w:w="992" w:type="dxa"/>
          </w:tcPr>
          <w:p w14:paraId="1CDB3C44"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746,43</w:t>
            </w:r>
          </w:p>
        </w:tc>
      </w:tr>
      <w:tr w:rsidR="00A51394" w:rsidRPr="00A51394" w14:paraId="07D86CF8" w14:textId="77777777" w:rsidTr="0062755F">
        <w:trPr>
          <w:trHeight w:val="285"/>
          <w:tblCellSpacing w:w="0" w:type="dxa"/>
        </w:trPr>
        <w:tc>
          <w:tcPr>
            <w:tcW w:w="5055" w:type="dxa"/>
          </w:tcPr>
          <w:p w14:paraId="23D23689"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Pericarditis</w:t>
            </w:r>
          </w:p>
        </w:tc>
        <w:tc>
          <w:tcPr>
            <w:tcW w:w="1047" w:type="dxa"/>
          </w:tcPr>
          <w:p w14:paraId="5282E289"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32189</w:t>
            </w:r>
          </w:p>
        </w:tc>
        <w:tc>
          <w:tcPr>
            <w:tcW w:w="1291" w:type="dxa"/>
          </w:tcPr>
          <w:p w14:paraId="0239878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362</w:t>
            </w:r>
          </w:p>
        </w:tc>
        <w:tc>
          <w:tcPr>
            <w:tcW w:w="844" w:type="dxa"/>
          </w:tcPr>
          <w:p w14:paraId="7410ECC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87,92</w:t>
            </w:r>
          </w:p>
        </w:tc>
        <w:tc>
          <w:tcPr>
            <w:tcW w:w="992" w:type="dxa"/>
          </w:tcPr>
          <w:p w14:paraId="48588AF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1458,52</w:t>
            </w:r>
          </w:p>
        </w:tc>
      </w:tr>
      <w:tr w:rsidR="00A51394" w:rsidRPr="00A51394" w14:paraId="00C37F04" w14:textId="77777777" w:rsidTr="0062755F">
        <w:trPr>
          <w:trHeight w:val="285"/>
          <w:tblCellSpacing w:w="0" w:type="dxa"/>
        </w:trPr>
        <w:tc>
          <w:tcPr>
            <w:tcW w:w="5055" w:type="dxa"/>
          </w:tcPr>
          <w:p w14:paraId="14D918E6"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Hartstilstand</w:t>
            </w:r>
          </w:p>
        </w:tc>
        <w:tc>
          <w:tcPr>
            <w:tcW w:w="1047" w:type="dxa"/>
          </w:tcPr>
          <w:p w14:paraId="679CE8D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5603</w:t>
            </w:r>
          </w:p>
        </w:tc>
        <w:tc>
          <w:tcPr>
            <w:tcW w:w="1291" w:type="dxa"/>
          </w:tcPr>
          <w:p w14:paraId="099EB17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727</w:t>
            </w:r>
          </w:p>
        </w:tc>
        <w:tc>
          <w:tcPr>
            <w:tcW w:w="844" w:type="dxa"/>
          </w:tcPr>
          <w:p w14:paraId="280BF9A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6,71</w:t>
            </w:r>
          </w:p>
        </w:tc>
        <w:tc>
          <w:tcPr>
            <w:tcW w:w="992" w:type="dxa"/>
          </w:tcPr>
          <w:p w14:paraId="6E745A92"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111,26</w:t>
            </w:r>
          </w:p>
        </w:tc>
      </w:tr>
      <w:tr w:rsidR="00A51394" w:rsidRPr="00A51394" w14:paraId="7EE45186" w14:textId="77777777" w:rsidTr="0062755F">
        <w:trPr>
          <w:trHeight w:val="285"/>
          <w:tblCellSpacing w:w="0" w:type="dxa"/>
        </w:trPr>
        <w:tc>
          <w:tcPr>
            <w:tcW w:w="5055" w:type="dxa"/>
          </w:tcPr>
          <w:p w14:paraId="66EC6630"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Hartfalen</w:t>
            </w:r>
          </w:p>
        </w:tc>
        <w:tc>
          <w:tcPr>
            <w:tcW w:w="1047" w:type="dxa"/>
          </w:tcPr>
          <w:p w14:paraId="16191FF3"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8574</w:t>
            </w:r>
          </w:p>
        </w:tc>
        <w:tc>
          <w:tcPr>
            <w:tcW w:w="1291" w:type="dxa"/>
          </w:tcPr>
          <w:p w14:paraId="5CEB6A6B"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546</w:t>
            </w:r>
          </w:p>
        </w:tc>
        <w:tc>
          <w:tcPr>
            <w:tcW w:w="844" w:type="dxa"/>
          </w:tcPr>
          <w:p w14:paraId="4E5E6D1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14,70</w:t>
            </w:r>
          </w:p>
        </w:tc>
        <w:tc>
          <w:tcPr>
            <w:tcW w:w="992" w:type="dxa"/>
          </w:tcPr>
          <w:p w14:paraId="178C5D4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243,92</w:t>
            </w:r>
          </w:p>
        </w:tc>
      </w:tr>
      <w:tr w:rsidR="00A51394" w:rsidRPr="00A51394" w14:paraId="6ED90805" w14:textId="77777777" w:rsidTr="0062755F">
        <w:trPr>
          <w:trHeight w:val="285"/>
          <w:tblCellSpacing w:w="0" w:type="dxa"/>
        </w:trPr>
        <w:tc>
          <w:tcPr>
            <w:tcW w:w="5055" w:type="dxa"/>
          </w:tcPr>
          <w:p w14:paraId="181879DE"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Aangeboren genetisch bepaalde ziekten</w:t>
            </w:r>
          </w:p>
        </w:tc>
        <w:tc>
          <w:tcPr>
            <w:tcW w:w="1047" w:type="dxa"/>
          </w:tcPr>
          <w:p w14:paraId="7E07FA9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3661</w:t>
            </w:r>
          </w:p>
        </w:tc>
        <w:tc>
          <w:tcPr>
            <w:tcW w:w="1291" w:type="dxa"/>
          </w:tcPr>
          <w:p w14:paraId="13261F0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175</w:t>
            </w:r>
          </w:p>
        </w:tc>
        <w:tc>
          <w:tcPr>
            <w:tcW w:w="844" w:type="dxa"/>
          </w:tcPr>
          <w:p w14:paraId="3880CF7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19,92</w:t>
            </w:r>
          </w:p>
        </w:tc>
        <w:tc>
          <w:tcPr>
            <w:tcW w:w="992" w:type="dxa"/>
          </w:tcPr>
          <w:p w14:paraId="40A4017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330,46</w:t>
            </w:r>
          </w:p>
        </w:tc>
      </w:tr>
      <w:tr w:rsidR="00A51394" w:rsidRPr="00A51394" w14:paraId="7FCD4DA9" w14:textId="77777777" w:rsidTr="0062755F">
        <w:trPr>
          <w:trHeight w:val="285"/>
          <w:tblCellSpacing w:w="0" w:type="dxa"/>
        </w:trPr>
        <w:tc>
          <w:tcPr>
            <w:tcW w:w="5055" w:type="dxa"/>
          </w:tcPr>
          <w:p w14:paraId="1715A733"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Oor/gehoorgangziekten</w:t>
            </w:r>
          </w:p>
        </w:tc>
        <w:tc>
          <w:tcPr>
            <w:tcW w:w="1047" w:type="dxa"/>
          </w:tcPr>
          <w:p w14:paraId="34BBFAE9"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142964</w:t>
            </w:r>
          </w:p>
        </w:tc>
        <w:tc>
          <w:tcPr>
            <w:tcW w:w="1291" w:type="dxa"/>
          </w:tcPr>
          <w:p w14:paraId="2A959D0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17190</w:t>
            </w:r>
          </w:p>
        </w:tc>
        <w:tc>
          <w:tcPr>
            <w:tcW w:w="844" w:type="dxa"/>
          </w:tcPr>
          <w:p w14:paraId="48B4F97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7,32</w:t>
            </w:r>
          </w:p>
        </w:tc>
        <w:tc>
          <w:tcPr>
            <w:tcW w:w="992" w:type="dxa"/>
          </w:tcPr>
          <w:p w14:paraId="61D33CB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121,38</w:t>
            </w:r>
          </w:p>
        </w:tc>
      </w:tr>
      <w:tr w:rsidR="00A51394" w:rsidRPr="00A51394" w14:paraId="2873268B" w14:textId="77777777" w:rsidTr="0062755F">
        <w:trPr>
          <w:trHeight w:val="285"/>
          <w:tblCellSpacing w:w="0" w:type="dxa"/>
        </w:trPr>
        <w:tc>
          <w:tcPr>
            <w:tcW w:w="5055" w:type="dxa"/>
          </w:tcPr>
          <w:p w14:paraId="02293F0A"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Tinnitis</w:t>
            </w:r>
          </w:p>
        </w:tc>
        <w:tc>
          <w:tcPr>
            <w:tcW w:w="1047" w:type="dxa"/>
          </w:tcPr>
          <w:p w14:paraId="036412D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58479</w:t>
            </w:r>
          </w:p>
        </w:tc>
        <w:tc>
          <w:tcPr>
            <w:tcW w:w="1291" w:type="dxa"/>
          </w:tcPr>
          <w:p w14:paraId="3132878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4644</w:t>
            </w:r>
          </w:p>
        </w:tc>
        <w:tc>
          <w:tcPr>
            <w:tcW w:w="844" w:type="dxa"/>
          </w:tcPr>
          <w:p w14:paraId="7A8678A9"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11,59</w:t>
            </w:r>
          </w:p>
        </w:tc>
        <w:tc>
          <w:tcPr>
            <w:tcW w:w="992" w:type="dxa"/>
          </w:tcPr>
          <w:p w14:paraId="13CFDD8D"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192,31</w:t>
            </w:r>
          </w:p>
        </w:tc>
      </w:tr>
      <w:tr w:rsidR="00A51394" w:rsidRPr="00A51394" w14:paraId="74C4D0D2" w14:textId="77777777" w:rsidTr="0062755F">
        <w:trPr>
          <w:trHeight w:val="285"/>
          <w:tblCellSpacing w:w="0" w:type="dxa"/>
        </w:trPr>
        <w:tc>
          <w:tcPr>
            <w:tcW w:w="5055" w:type="dxa"/>
          </w:tcPr>
          <w:p w14:paraId="649A5E70"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Doofheid</w:t>
            </w:r>
          </w:p>
        </w:tc>
        <w:tc>
          <w:tcPr>
            <w:tcW w:w="1047" w:type="dxa"/>
          </w:tcPr>
          <w:p w14:paraId="1125D48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10873</w:t>
            </w:r>
          </w:p>
        </w:tc>
        <w:tc>
          <w:tcPr>
            <w:tcW w:w="1291" w:type="dxa"/>
          </w:tcPr>
          <w:p w14:paraId="7356A00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731</w:t>
            </w:r>
          </w:p>
        </w:tc>
        <w:tc>
          <w:tcPr>
            <w:tcW w:w="844" w:type="dxa"/>
          </w:tcPr>
          <w:p w14:paraId="5D45D86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13,87</w:t>
            </w:r>
          </w:p>
        </w:tc>
        <w:tc>
          <w:tcPr>
            <w:tcW w:w="992" w:type="dxa"/>
          </w:tcPr>
          <w:p w14:paraId="5B8ABEC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230,16</w:t>
            </w:r>
          </w:p>
        </w:tc>
      </w:tr>
      <w:tr w:rsidR="00A51394" w:rsidRPr="00A51394" w14:paraId="256AD47C" w14:textId="77777777" w:rsidTr="0062755F">
        <w:trPr>
          <w:trHeight w:val="285"/>
          <w:tblCellSpacing w:w="0" w:type="dxa"/>
        </w:trPr>
        <w:tc>
          <w:tcPr>
            <w:tcW w:w="5055" w:type="dxa"/>
          </w:tcPr>
          <w:p w14:paraId="3D8BF8E8"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Klierziekten</w:t>
            </w:r>
          </w:p>
        </w:tc>
        <w:tc>
          <w:tcPr>
            <w:tcW w:w="1047" w:type="dxa"/>
          </w:tcPr>
          <w:p w14:paraId="3DD8B66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11443</w:t>
            </w:r>
          </w:p>
        </w:tc>
        <w:tc>
          <w:tcPr>
            <w:tcW w:w="1291" w:type="dxa"/>
          </w:tcPr>
          <w:p w14:paraId="3DDB146B"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379</w:t>
            </w:r>
          </w:p>
        </w:tc>
        <w:tc>
          <w:tcPr>
            <w:tcW w:w="844" w:type="dxa"/>
          </w:tcPr>
          <w:p w14:paraId="18AB15C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29,19</w:t>
            </w:r>
          </w:p>
        </w:tc>
        <w:tc>
          <w:tcPr>
            <w:tcW w:w="992" w:type="dxa"/>
          </w:tcPr>
          <w:p w14:paraId="766F4304"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484,28</w:t>
            </w:r>
          </w:p>
        </w:tc>
      </w:tr>
      <w:tr w:rsidR="00A51394" w:rsidRPr="00A51394" w14:paraId="2001117C" w14:textId="77777777" w:rsidTr="0062755F">
        <w:trPr>
          <w:trHeight w:val="285"/>
          <w:tblCellSpacing w:w="0" w:type="dxa"/>
        </w:trPr>
        <w:tc>
          <w:tcPr>
            <w:tcW w:w="5055" w:type="dxa"/>
          </w:tcPr>
          <w:p w14:paraId="0E665F68"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Ziekte van Basedow</w:t>
            </w:r>
          </w:p>
        </w:tc>
        <w:tc>
          <w:tcPr>
            <w:tcW w:w="1047" w:type="dxa"/>
          </w:tcPr>
          <w:p w14:paraId="0866E1C4"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1525</w:t>
            </w:r>
          </w:p>
        </w:tc>
        <w:tc>
          <w:tcPr>
            <w:tcW w:w="1291" w:type="dxa"/>
          </w:tcPr>
          <w:p w14:paraId="6DEFCC8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15</w:t>
            </w:r>
          </w:p>
        </w:tc>
        <w:tc>
          <w:tcPr>
            <w:tcW w:w="844" w:type="dxa"/>
          </w:tcPr>
          <w:p w14:paraId="23865D5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100,67</w:t>
            </w:r>
          </w:p>
        </w:tc>
        <w:tc>
          <w:tcPr>
            <w:tcW w:w="992" w:type="dxa"/>
          </w:tcPr>
          <w:p w14:paraId="74B6B31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1669,98</w:t>
            </w:r>
          </w:p>
        </w:tc>
      </w:tr>
      <w:tr w:rsidR="00A51394" w:rsidRPr="00A51394" w14:paraId="5B3D067B" w14:textId="77777777" w:rsidTr="0062755F">
        <w:trPr>
          <w:trHeight w:val="285"/>
          <w:tblCellSpacing w:w="0" w:type="dxa"/>
        </w:trPr>
        <w:tc>
          <w:tcPr>
            <w:tcW w:w="5055" w:type="dxa"/>
          </w:tcPr>
          <w:p w14:paraId="64088867"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Oogziekten</w:t>
            </w:r>
          </w:p>
        </w:tc>
        <w:tc>
          <w:tcPr>
            <w:tcW w:w="1047" w:type="dxa"/>
          </w:tcPr>
          <w:p w14:paraId="3665C6C3"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160942</w:t>
            </w:r>
          </w:p>
        </w:tc>
        <w:tc>
          <w:tcPr>
            <w:tcW w:w="1291" w:type="dxa"/>
          </w:tcPr>
          <w:p w14:paraId="7986FD8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20637</w:t>
            </w:r>
          </w:p>
        </w:tc>
        <w:tc>
          <w:tcPr>
            <w:tcW w:w="844" w:type="dxa"/>
          </w:tcPr>
          <w:p w14:paraId="4AB92A5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6,80</w:t>
            </w:r>
          </w:p>
        </w:tc>
        <w:tc>
          <w:tcPr>
            <w:tcW w:w="992" w:type="dxa"/>
          </w:tcPr>
          <w:p w14:paraId="3C992C1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112,79</w:t>
            </w:r>
          </w:p>
        </w:tc>
      </w:tr>
      <w:tr w:rsidR="00A51394" w:rsidRPr="00A51394" w14:paraId="135B6DAC" w14:textId="77777777" w:rsidTr="0062755F">
        <w:trPr>
          <w:trHeight w:val="285"/>
          <w:tblCellSpacing w:w="0" w:type="dxa"/>
        </w:trPr>
        <w:tc>
          <w:tcPr>
            <w:tcW w:w="5055" w:type="dxa"/>
          </w:tcPr>
          <w:p w14:paraId="4F2E8941"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Blind worden</w:t>
            </w:r>
          </w:p>
        </w:tc>
        <w:tc>
          <w:tcPr>
            <w:tcW w:w="1047" w:type="dxa"/>
          </w:tcPr>
          <w:p w14:paraId="4754640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6S07</w:t>
            </w:r>
          </w:p>
        </w:tc>
        <w:tc>
          <w:tcPr>
            <w:tcW w:w="1291" w:type="dxa"/>
          </w:tcPr>
          <w:p w14:paraId="0B8DF2C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470</w:t>
            </w:r>
          </w:p>
        </w:tc>
        <w:tc>
          <w:tcPr>
            <w:tcW w:w="844" w:type="dxa"/>
          </w:tcPr>
          <w:p w14:paraId="5FA68EE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12,84</w:t>
            </w:r>
          </w:p>
        </w:tc>
        <w:tc>
          <w:tcPr>
            <w:tcW w:w="992" w:type="dxa"/>
          </w:tcPr>
          <w:p w14:paraId="13C54E59"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213,08</w:t>
            </w:r>
          </w:p>
        </w:tc>
      </w:tr>
      <w:tr w:rsidR="00A51394" w:rsidRPr="00A51394" w14:paraId="7A217008" w14:textId="77777777" w:rsidTr="0062755F">
        <w:trPr>
          <w:trHeight w:val="285"/>
          <w:tblCellSpacing w:w="0" w:type="dxa"/>
        </w:trPr>
        <w:tc>
          <w:tcPr>
            <w:tcW w:w="5055" w:type="dxa"/>
          </w:tcPr>
          <w:p w14:paraId="358B21F2"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Maag/darm ziekten</w:t>
            </w:r>
          </w:p>
        </w:tc>
        <w:tc>
          <w:tcPr>
            <w:tcW w:w="1047" w:type="dxa"/>
          </w:tcPr>
          <w:p w14:paraId="35A21F2D"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843268</w:t>
            </w:r>
          </w:p>
        </w:tc>
        <w:tc>
          <w:tcPr>
            <w:tcW w:w="1291" w:type="dxa"/>
          </w:tcPr>
          <w:p w14:paraId="2792C82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148338</w:t>
            </w:r>
          </w:p>
        </w:tc>
        <w:tc>
          <w:tcPr>
            <w:tcW w:w="844" w:type="dxa"/>
          </w:tcPr>
          <w:p w14:paraId="451572F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363636"/>
                <w:sz w:val="20"/>
                <w:szCs w:val="20"/>
              </w:rPr>
              <w:t>4,68</w:t>
            </w:r>
          </w:p>
        </w:tc>
        <w:tc>
          <w:tcPr>
            <w:tcW w:w="992" w:type="dxa"/>
          </w:tcPr>
          <w:p w14:paraId="62E8055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77,72</w:t>
            </w:r>
          </w:p>
        </w:tc>
      </w:tr>
      <w:tr w:rsidR="00A51394" w:rsidRPr="00A51394" w14:paraId="27E021EF" w14:textId="77777777" w:rsidTr="0062755F">
        <w:trPr>
          <w:trHeight w:val="285"/>
          <w:tblCellSpacing w:w="0" w:type="dxa"/>
        </w:trPr>
        <w:tc>
          <w:tcPr>
            <w:tcW w:w="5055" w:type="dxa"/>
          </w:tcPr>
          <w:p w14:paraId="6FD3E128"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Colitis</w:t>
            </w:r>
          </w:p>
        </w:tc>
        <w:tc>
          <w:tcPr>
            <w:tcW w:w="1047" w:type="dxa"/>
          </w:tcPr>
          <w:p w14:paraId="2E71BE4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4197</w:t>
            </w:r>
          </w:p>
        </w:tc>
        <w:tc>
          <w:tcPr>
            <w:tcW w:w="1291" w:type="dxa"/>
          </w:tcPr>
          <w:p w14:paraId="5C9DA8A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244</w:t>
            </w:r>
          </w:p>
        </w:tc>
        <w:tc>
          <w:tcPr>
            <w:tcW w:w="844" w:type="dxa"/>
          </w:tcPr>
          <w:p w14:paraId="275BAFA3"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16,20</w:t>
            </w:r>
          </w:p>
        </w:tc>
        <w:tc>
          <w:tcPr>
            <w:tcW w:w="992" w:type="dxa"/>
          </w:tcPr>
          <w:p w14:paraId="036DD71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268,76</w:t>
            </w:r>
          </w:p>
        </w:tc>
      </w:tr>
      <w:tr w:rsidR="00A51394" w:rsidRPr="00A51394" w14:paraId="12CA5DA2" w14:textId="77777777" w:rsidTr="0062755F">
        <w:trPr>
          <w:trHeight w:val="285"/>
          <w:tblCellSpacing w:w="0" w:type="dxa"/>
        </w:trPr>
        <w:tc>
          <w:tcPr>
            <w:tcW w:w="5055" w:type="dxa"/>
          </w:tcPr>
          <w:p w14:paraId="5C828C3D"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Pancreatitis</w:t>
            </w:r>
          </w:p>
        </w:tc>
        <w:tc>
          <w:tcPr>
            <w:tcW w:w="1047" w:type="dxa"/>
          </w:tcPr>
          <w:p w14:paraId="174AE5C4"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2496</w:t>
            </w:r>
          </w:p>
        </w:tc>
        <w:tc>
          <w:tcPr>
            <w:tcW w:w="1291" w:type="dxa"/>
          </w:tcPr>
          <w:p w14:paraId="2F5D4F5E"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146</w:t>
            </w:r>
          </w:p>
        </w:tc>
        <w:tc>
          <w:tcPr>
            <w:tcW w:w="844" w:type="dxa"/>
          </w:tcPr>
          <w:p w14:paraId="29BAA7B6"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16,10</w:t>
            </w:r>
          </w:p>
        </w:tc>
        <w:tc>
          <w:tcPr>
            <w:tcW w:w="992" w:type="dxa"/>
          </w:tcPr>
          <w:p w14:paraId="78C0AD6E"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267,02</w:t>
            </w:r>
          </w:p>
        </w:tc>
      </w:tr>
      <w:tr w:rsidR="00A51394" w:rsidRPr="00A51394" w14:paraId="7A12B791" w14:textId="77777777" w:rsidTr="0062755F">
        <w:trPr>
          <w:trHeight w:val="285"/>
          <w:tblCellSpacing w:w="0" w:type="dxa"/>
        </w:trPr>
        <w:tc>
          <w:tcPr>
            <w:tcW w:w="5055" w:type="dxa"/>
          </w:tcPr>
          <w:p w14:paraId="7876CF50"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Algemene ziekten</w:t>
            </w:r>
          </w:p>
        </w:tc>
        <w:tc>
          <w:tcPr>
            <w:tcW w:w="1047" w:type="dxa"/>
          </w:tcPr>
          <w:p w14:paraId="00FC2A8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3027607</w:t>
            </w:r>
          </w:p>
        </w:tc>
        <w:tc>
          <w:tcPr>
            <w:tcW w:w="1291" w:type="dxa"/>
          </w:tcPr>
          <w:p w14:paraId="64F71C7B"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423844</w:t>
            </w:r>
          </w:p>
        </w:tc>
        <w:tc>
          <w:tcPr>
            <w:tcW w:w="844" w:type="dxa"/>
          </w:tcPr>
          <w:p w14:paraId="770C8C6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6,14</w:t>
            </w:r>
          </w:p>
        </w:tc>
        <w:tc>
          <w:tcPr>
            <w:tcW w:w="992" w:type="dxa"/>
          </w:tcPr>
          <w:p w14:paraId="37740C9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101,91</w:t>
            </w:r>
          </w:p>
        </w:tc>
      </w:tr>
      <w:tr w:rsidR="00A51394" w:rsidRPr="00A51394" w14:paraId="4752FE7D" w14:textId="77777777" w:rsidTr="0062755F">
        <w:trPr>
          <w:trHeight w:val="285"/>
          <w:tblCellSpacing w:w="0" w:type="dxa"/>
        </w:trPr>
        <w:tc>
          <w:tcPr>
            <w:tcW w:w="5055" w:type="dxa"/>
          </w:tcPr>
          <w:p w14:paraId="3B192BEA"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Dood</w:t>
            </w:r>
          </w:p>
        </w:tc>
        <w:tc>
          <w:tcPr>
            <w:tcW w:w="1047" w:type="dxa"/>
          </w:tcPr>
          <w:p w14:paraId="4FB67BC2"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b/>
                <w:bCs/>
                <w:color w:val="4F4F4F"/>
                <w:sz w:val="20"/>
                <w:szCs w:val="20"/>
              </w:rPr>
              <w:t>28854</w:t>
            </w:r>
          </w:p>
        </w:tc>
        <w:tc>
          <w:tcPr>
            <w:tcW w:w="1291" w:type="dxa"/>
          </w:tcPr>
          <w:p w14:paraId="26B6B3D2"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4622</w:t>
            </w:r>
          </w:p>
        </w:tc>
        <w:tc>
          <w:tcPr>
            <w:tcW w:w="844" w:type="dxa"/>
          </w:tcPr>
          <w:p w14:paraId="4A1D39C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5,24</w:t>
            </w:r>
          </w:p>
        </w:tc>
        <w:tc>
          <w:tcPr>
            <w:tcW w:w="992" w:type="dxa"/>
          </w:tcPr>
          <w:p w14:paraId="5E3F8EB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86,97</w:t>
            </w:r>
          </w:p>
        </w:tc>
      </w:tr>
      <w:tr w:rsidR="00A51394" w:rsidRPr="00A51394" w14:paraId="017D72B1" w14:textId="77777777" w:rsidTr="0062755F">
        <w:trPr>
          <w:trHeight w:val="285"/>
          <w:tblCellSpacing w:w="0" w:type="dxa"/>
        </w:trPr>
        <w:tc>
          <w:tcPr>
            <w:tcW w:w="5055" w:type="dxa"/>
          </w:tcPr>
          <w:p w14:paraId="55F9CC7D"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Ziekten van lever en gal</w:t>
            </w:r>
          </w:p>
        </w:tc>
        <w:tc>
          <w:tcPr>
            <w:tcW w:w="1047" w:type="dxa"/>
          </w:tcPr>
          <w:p w14:paraId="6B26B166"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11509</w:t>
            </w:r>
          </w:p>
        </w:tc>
        <w:tc>
          <w:tcPr>
            <w:tcW w:w="1291" w:type="dxa"/>
          </w:tcPr>
          <w:p w14:paraId="467075A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363636"/>
                <w:sz w:val="20"/>
                <w:szCs w:val="20"/>
              </w:rPr>
              <w:t>717</w:t>
            </w:r>
          </w:p>
        </w:tc>
        <w:tc>
          <w:tcPr>
            <w:tcW w:w="844" w:type="dxa"/>
          </w:tcPr>
          <w:p w14:paraId="635ECBE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15,05</w:t>
            </w:r>
          </w:p>
        </w:tc>
        <w:tc>
          <w:tcPr>
            <w:tcW w:w="992" w:type="dxa"/>
          </w:tcPr>
          <w:p w14:paraId="46C1524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249,69</w:t>
            </w:r>
          </w:p>
        </w:tc>
      </w:tr>
      <w:tr w:rsidR="00A51394" w:rsidRPr="00A51394" w14:paraId="4EC45F1F" w14:textId="77777777" w:rsidTr="0062755F">
        <w:trPr>
          <w:trHeight w:val="285"/>
          <w:tblCellSpacing w:w="0" w:type="dxa"/>
        </w:trPr>
        <w:tc>
          <w:tcPr>
            <w:tcW w:w="5055" w:type="dxa"/>
          </w:tcPr>
          <w:p w14:paraId="44A59311"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Auto-immune hepatitis</w:t>
            </w:r>
          </w:p>
        </w:tc>
        <w:tc>
          <w:tcPr>
            <w:tcW w:w="1047" w:type="dxa"/>
          </w:tcPr>
          <w:p w14:paraId="1F07D7C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770</w:t>
            </w:r>
          </w:p>
        </w:tc>
        <w:tc>
          <w:tcPr>
            <w:tcW w:w="1291" w:type="dxa"/>
          </w:tcPr>
          <w:p w14:paraId="0AEEDCF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w:t>
            </w:r>
          </w:p>
        </w:tc>
        <w:tc>
          <w:tcPr>
            <w:tcW w:w="844" w:type="dxa"/>
          </w:tcPr>
          <w:p w14:paraId="089FD57D"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b/>
                <w:bCs/>
                <w:color w:val="4F4F4F"/>
                <w:sz w:val="20"/>
                <w:szCs w:val="20"/>
              </w:rPr>
              <w:t>95,25</w:t>
            </w:r>
          </w:p>
        </w:tc>
        <w:tc>
          <w:tcPr>
            <w:tcW w:w="992" w:type="dxa"/>
          </w:tcPr>
          <w:p w14:paraId="76CDC32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b/>
                <w:bCs/>
                <w:color w:val="4F4F4F"/>
                <w:sz w:val="20"/>
                <w:szCs w:val="20"/>
              </w:rPr>
              <w:t>1580,12</w:t>
            </w:r>
          </w:p>
        </w:tc>
      </w:tr>
      <w:tr w:rsidR="00A51394" w:rsidRPr="00A51394" w14:paraId="1010731A" w14:textId="77777777" w:rsidTr="0062755F">
        <w:trPr>
          <w:trHeight w:val="285"/>
          <w:tblCellSpacing w:w="0" w:type="dxa"/>
        </w:trPr>
        <w:tc>
          <w:tcPr>
            <w:tcW w:w="5055" w:type="dxa"/>
          </w:tcPr>
          <w:p w14:paraId="5E820BB1"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Ziekten van het immuunsysteem</w:t>
            </w:r>
          </w:p>
        </w:tc>
        <w:tc>
          <w:tcPr>
            <w:tcW w:w="1047" w:type="dxa"/>
          </w:tcPr>
          <w:p w14:paraId="3E07609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90135</w:t>
            </w:r>
          </w:p>
        </w:tc>
        <w:tc>
          <w:tcPr>
            <w:tcW w:w="1291" w:type="dxa"/>
          </w:tcPr>
          <w:p w14:paraId="3C10574B"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6921</w:t>
            </w:r>
          </w:p>
        </w:tc>
        <w:tc>
          <w:tcPr>
            <w:tcW w:w="844" w:type="dxa"/>
          </w:tcPr>
          <w:p w14:paraId="59F1B01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12,02</w:t>
            </w:r>
          </w:p>
        </w:tc>
        <w:tc>
          <w:tcPr>
            <w:tcW w:w="992" w:type="dxa"/>
          </w:tcPr>
          <w:p w14:paraId="27FC2B2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199,46</w:t>
            </w:r>
          </w:p>
        </w:tc>
      </w:tr>
      <w:tr w:rsidR="00A51394" w:rsidRPr="00A51394" w14:paraId="5D6E819C" w14:textId="77777777" w:rsidTr="0062755F">
        <w:trPr>
          <w:trHeight w:val="285"/>
          <w:tblCellSpacing w:w="0" w:type="dxa"/>
        </w:trPr>
        <w:tc>
          <w:tcPr>
            <w:tcW w:w="5055" w:type="dxa"/>
          </w:tcPr>
          <w:p w14:paraId="621C708E"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Anafylactische shock</w:t>
            </w:r>
          </w:p>
        </w:tc>
        <w:tc>
          <w:tcPr>
            <w:tcW w:w="1047" w:type="dxa"/>
          </w:tcPr>
          <w:p w14:paraId="7816D5B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21291</w:t>
            </w:r>
          </w:p>
        </w:tc>
        <w:tc>
          <w:tcPr>
            <w:tcW w:w="1291" w:type="dxa"/>
          </w:tcPr>
          <w:p w14:paraId="1F10ECE6"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2711</w:t>
            </w:r>
          </w:p>
        </w:tc>
        <w:tc>
          <w:tcPr>
            <w:tcW w:w="844" w:type="dxa"/>
          </w:tcPr>
          <w:p w14:paraId="675D084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b/>
                <w:bCs/>
                <w:color w:val="4F4F4F"/>
                <w:sz w:val="20"/>
                <w:szCs w:val="20"/>
              </w:rPr>
              <w:t>6,85</w:t>
            </w:r>
          </w:p>
        </w:tc>
        <w:tc>
          <w:tcPr>
            <w:tcW w:w="992" w:type="dxa"/>
          </w:tcPr>
          <w:p w14:paraId="7714362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b/>
                <w:bCs/>
                <w:color w:val="4F4F4F"/>
                <w:sz w:val="20"/>
                <w:szCs w:val="20"/>
              </w:rPr>
              <w:t>113,69</w:t>
            </w:r>
          </w:p>
        </w:tc>
      </w:tr>
      <w:tr w:rsidR="00A51394" w:rsidRPr="00A51394" w14:paraId="25B3A19A" w14:textId="77777777" w:rsidTr="0062755F">
        <w:trPr>
          <w:trHeight w:val="285"/>
          <w:tblCellSpacing w:w="0" w:type="dxa"/>
        </w:trPr>
        <w:tc>
          <w:tcPr>
            <w:tcW w:w="5055" w:type="dxa"/>
          </w:tcPr>
          <w:p w14:paraId="736F18DB"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Multisysteem-</w:t>
            </w:r>
            <w:r w:rsidRPr="00A51394">
              <w:rPr>
                <w:rFonts w:ascii="Times New Roman" w:eastAsia="Times New Roman" w:hAnsi="Times New Roman" w:cs="Times New Roman"/>
                <w:color w:val="000000"/>
                <w:sz w:val="20"/>
                <w:szCs w:val="20"/>
              </w:rPr>
              <w:t>inflamma</w:t>
            </w:r>
            <w:r w:rsidRPr="00A51394">
              <w:rPr>
                <w:rFonts w:ascii="Times New Roman" w:eastAsia="Times New Roman" w:hAnsi="Times New Roman" w:cs="Times New Roman"/>
                <w:sz w:val="20"/>
                <w:szCs w:val="20"/>
              </w:rPr>
              <w:t xml:space="preserve">toir </w:t>
            </w:r>
            <w:r w:rsidRPr="00A51394">
              <w:rPr>
                <w:rFonts w:ascii="Times New Roman" w:eastAsia="Times New Roman" w:hAnsi="Times New Roman" w:cs="Times New Roman"/>
                <w:color w:val="4F4F4F"/>
                <w:sz w:val="20"/>
                <w:szCs w:val="20"/>
              </w:rPr>
              <w:t>-syndroom</w:t>
            </w:r>
          </w:p>
        </w:tc>
        <w:tc>
          <w:tcPr>
            <w:tcW w:w="1047" w:type="dxa"/>
          </w:tcPr>
          <w:p w14:paraId="08198BF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599</w:t>
            </w:r>
          </w:p>
        </w:tc>
        <w:tc>
          <w:tcPr>
            <w:tcW w:w="1291" w:type="dxa"/>
          </w:tcPr>
          <w:p w14:paraId="571A2BC3"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w:t>
            </w:r>
          </w:p>
        </w:tc>
        <w:tc>
          <w:tcPr>
            <w:tcW w:w="844" w:type="dxa"/>
          </w:tcPr>
          <w:p w14:paraId="220DACD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298,50</w:t>
            </w:r>
          </w:p>
        </w:tc>
        <w:tc>
          <w:tcPr>
            <w:tcW w:w="992" w:type="dxa"/>
          </w:tcPr>
          <w:p w14:paraId="01AB5A4B"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4951,87</w:t>
            </w:r>
          </w:p>
        </w:tc>
      </w:tr>
      <w:tr w:rsidR="00A51394" w:rsidRPr="00A51394" w14:paraId="04A8907C" w14:textId="77777777" w:rsidTr="0062755F">
        <w:trPr>
          <w:trHeight w:val="270"/>
          <w:tblCellSpacing w:w="0" w:type="dxa"/>
        </w:trPr>
        <w:tc>
          <w:tcPr>
            <w:tcW w:w="5055" w:type="dxa"/>
          </w:tcPr>
          <w:p w14:paraId="774B46D1" w14:textId="77777777" w:rsidR="00A51394" w:rsidRPr="00A51394" w:rsidRDefault="00A51394" w:rsidP="00A51394">
            <w:pPr>
              <w:spacing w:after="0" w:line="240" w:lineRule="auto"/>
              <w:rPr>
                <w:rFonts w:ascii="Times New Roman" w:eastAsia="Times New Roman" w:hAnsi="Times New Roman" w:cs="Times New Roman"/>
                <w:sz w:val="20"/>
                <w:szCs w:val="20"/>
              </w:rPr>
            </w:pPr>
          </w:p>
        </w:tc>
        <w:tc>
          <w:tcPr>
            <w:tcW w:w="1047" w:type="dxa"/>
          </w:tcPr>
          <w:p w14:paraId="1DE8C7C6"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p>
        </w:tc>
        <w:tc>
          <w:tcPr>
            <w:tcW w:w="1291" w:type="dxa"/>
          </w:tcPr>
          <w:p w14:paraId="0644B68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p>
        </w:tc>
        <w:tc>
          <w:tcPr>
            <w:tcW w:w="844" w:type="dxa"/>
          </w:tcPr>
          <w:p w14:paraId="151BD48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p>
        </w:tc>
        <w:tc>
          <w:tcPr>
            <w:tcW w:w="992" w:type="dxa"/>
          </w:tcPr>
          <w:p w14:paraId="67B422D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p>
        </w:tc>
      </w:tr>
      <w:tr w:rsidR="00A51394" w:rsidRPr="00A51394" w14:paraId="7C62AE78" w14:textId="77777777" w:rsidTr="0062755F">
        <w:trPr>
          <w:trHeight w:val="285"/>
          <w:tblCellSpacing w:w="0" w:type="dxa"/>
        </w:trPr>
        <w:tc>
          <w:tcPr>
            <w:tcW w:w="5055" w:type="dxa"/>
          </w:tcPr>
          <w:p w14:paraId="51BB8F61"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Ziekten bepaald door stofwisseling en voeding</w:t>
            </w:r>
          </w:p>
        </w:tc>
        <w:tc>
          <w:tcPr>
            <w:tcW w:w="1047" w:type="dxa"/>
          </w:tcPr>
          <w:p w14:paraId="23786E22"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95060</w:t>
            </w:r>
          </w:p>
        </w:tc>
        <w:tc>
          <w:tcPr>
            <w:tcW w:w="1291" w:type="dxa"/>
          </w:tcPr>
          <w:p w14:paraId="5E25C56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15050</w:t>
            </w:r>
          </w:p>
        </w:tc>
        <w:tc>
          <w:tcPr>
            <w:tcW w:w="844" w:type="dxa"/>
          </w:tcPr>
          <w:p w14:paraId="6A13AD7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5,32</w:t>
            </w:r>
          </w:p>
        </w:tc>
        <w:tc>
          <w:tcPr>
            <w:tcW w:w="992" w:type="dxa"/>
          </w:tcPr>
          <w:p w14:paraId="0FF31B1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88,19</w:t>
            </w:r>
          </w:p>
        </w:tc>
      </w:tr>
      <w:tr w:rsidR="00A51394" w:rsidRPr="00A51394" w14:paraId="3BE35795" w14:textId="77777777" w:rsidTr="0062755F">
        <w:trPr>
          <w:trHeight w:val="270"/>
          <w:tblCellSpacing w:w="0" w:type="dxa"/>
        </w:trPr>
        <w:tc>
          <w:tcPr>
            <w:tcW w:w="5055" w:type="dxa"/>
          </w:tcPr>
          <w:p w14:paraId="70CC3A7C" w14:textId="77777777" w:rsidR="00A51394" w:rsidRPr="00A51394" w:rsidRDefault="00A51394" w:rsidP="00A51394">
            <w:pPr>
              <w:spacing w:after="0" w:line="240" w:lineRule="auto"/>
              <w:rPr>
                <w:rFonts w:ascii="Times New Roman" w:eastAsia="Times New Roman" w:hAnsi="Times New Roman" w:cs="Times New Roman"/>
                <w:sz w:val="20"/>
                <w:szCs w:val="20"/>
              </w:rPr>
            </w:pPr>
          </w:p>
        </w:tc>
        <w:tc>
          <w:tcPr>
            <w:tcW w:w="1047" w:type="dxa"/>
            <w:vAlign w:val="bottom"/>
          </w:tcPr>
          <w:p w14:paraId="65ECA1DA" w14:textId="77777777" w:rsidR="00A51394" w:rsidRPr="00A51394" w:rsidRDefault="00A51394" w:rsidP="00A51394">
            <w:pPr>
              <w:spacing w:after="0" w:line="240" w:lineRule="auto"/>
              <w:rPr>
                <w:rFonts w:ascii="Times New Roman" w:eastAsia="Times New Roman" w:hAnsi="Times New Roman" w:cs="Times New Roman"/>
                <w:sz w:val="20"/>
                <w:szCs w:val="20"/>
              </w:rPr>
            </w:pPr>
          </w:p>
        </w:tc>
        <w:tc>
          <w:tcPr>
            <w:tcW w:w="1291" w:type="dxa"/>
            <w:vAlign w:val="bottom"/>
          </w:tcPr>
          <w:p w14:paraId="420A1D4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p>
        </w:tc>
        <w:tc>
          <w:tcPr>
            <w:tcW w:w="844" w:type="dxa"/>
            <w:vAlign w:val="bottom"/>
          </w:tcPr>
          <w:p w14:paraId="191335D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p>
        </w:tc>
        <w:tc>
          <w:tcPr>
            <w:tcW w:w="992" w:type="dxa"/>
            <w:vAlign w:val="bottom"/>
          </w:tcPr>
          <w:p w14:paraId="11065B2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p>
        </w:tc>
      </w:tr>
      <w:tr w:rsidR="00A51394" w:rsidRPr="00A51394" w14:paraId="6729B1E1" w14:textId="77777777" w:rsidTr="0062755F">
        <w:trPr>
          <w:trHeight w:val="285"/>
          <w:tblCellSpacing w:w="0" w:type="dxa"/>
        </w:trPr>
        <w:tc>
          <w:tcPr>
            <w:tcW w:w="5055" w:type="dxa"/>
          </w:tcPr>
          <w:p w14:paraId="1BA3D15D"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Spierziekten en ziekten van het bindweefsel</w:t>
            </w:r>
          </w:p>
        </w:tc>
        <w:tc>
          <w:tcPr>
            <w:tcW w:w="1047" w:type="dxa"/>
          </w:tcPr>
          <w:p w14:paraId="76A3954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1229002</w:t>
            </w:r>
          </w:p>
        </w:tc>
        <w:tc>
          <w:tcPr>
            <w:tcW w:w="1291" w:type="dxa"/>
          </w:tcPr>
          <w:p w14:paraId="7CA2C35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216670</w:t>
            </w:r>
          </w:p>
        </w:tc>
        <w:tc>
          <w:tcPr>
            <w:tcW w:w="844" w:type="dxa"/>
          </w:tcPr>
          <w:p w14:paraId="0B2CFF3B"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4,67</w:t>
            </w:r>
          </w:p>
        </w:tc>
        <w:tc>
          <w:tcPr>
            <w:tcW w:w="992" w:type="dxa"/>
          </w:tcPr>
          <w:p w14:paraId="5848427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77,51</w:t>
            </w:r>
          </w:p>
        </w:tc>
      </w:tr>
      <w:tr w:rsidR="00A51394" w:rsidRPr="00A51394" w14:paraId="7A4DED85" w14:textId="77777777" w:rsidTr="0062755F">
        <w:trPr>
          <w:trHeight w:val="285"/>
          <w:tblCellSpacing w:w="0" w:type="dxa"/>
        </w:trPr>
        <w:tc>
          <w:tcPr>
            <w:tcW w:w="5055" w:type="dxa"/>
          </w:tcPr>
          <w:p w14:paraId="4599F3DB"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Polymyalgia Rheumatica</w:t>
            </w:r>
          </w:p>
        </w:tc>
        <w:tc>
          <w:tcPr>
            <w:tcW w:w="1047" w:type="dxa"/>
          </w:tcPr>
          <w:p w14:paraId="3E2D00B6"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3627</w:t>
            </w:r>
          </w:p>
        </w:tc>
        <w:tc>
          <w:tcPr>
            <w:tcW w:w="1291" w:type="dxa"/>
          </w:tcPr>
          <w:p w14:paraId="5F810C06"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94</w:t>
            </w:r>
          </w:p>
        </w:tc>
        <w:tc>
          <w:tcPr>
            <w:tcW w:w="844" w:type="dxa"/>
          </w:tcPr>
          <w:p w14:paraId="74B72E13"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37,59</w:t>
            </w:r>
          </w:p>
        </w:tc>
        <w:tc>
          <w:tcPr>
            <w:tcW w:w="992" w:type="dxa"/>
          </w:tcPr>
          <w:p w14:paraId="326F7E52"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623,51</w:t>
            </w:r>
          </w:p>
        </w:tc>
      </w:tr>
      <w:tr w:rsidR="00A51394" w:rsidRPr="00A51394" w14:paraId="255F5FBD" w14:textId="77777777" w:rsidTr="0062755F">
        <w:trPr>
          <w:trHeight w:val="285"/>
          <w:tblCellSpacing w:w="0" w:type="dxa"/>
        </w:trPr>
        <w:tc>
          <w:tcPr>
            <w:tcW w:w="5055" w:type="dxa"/>
          </w:tcPr>
          <w:p w14:paraId="1A9E1070"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Rhabdomyolose</w:t>
            </w:r>
          </w:p>
        </w:tc>
        <w:tc>
          <w:tcPr>
            <w:tcW w:w="1047" w:type="dxa"/>
          </w:tcPr>
          <w:p w14:paraId="3CE95BC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1090</w:t>
            </w:r>
          </w:p>
        </w:tc>
        <w:tc>
          <w:tcPr>
            <w:tcW w:w="1291" w:type="dxa"/>
          </w:tcPr>
          <w:p w14:paraId="5F719E0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63</w:t>
            </w:r>
          </w:p>
        </w:tc>
        <w:tc>
          <w:tcPr>
            <w:tcW w:w="844" w:type="dxa"/>
          </w:tcPr>
          <w:p w14:paraId="24C8651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16,30</w:t>
            </w:r>
          </w:p>
        </w:tc>
        <w:tc>
          <w:tcPr>
            <w:tcW w:w="992" w:type="dxa"/>
          </w:tcPr>
          <w:p w14:paraId="36DBB299"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270,43</w:t>
            </w:r>
          </w:p>
        </w:tc>
      </w:tr>
      <w:tr w:rsidR="00A51394" w:rsidRPr="00A51394" w14:paraId="6447B77D" w14:textId="77777777" w:rsidTr="0062755F">
        <w:trPr>
          <w:trHeight w:val="285"/>
          <w:tblCellSpacing w:w="0" w:type="dxa"/>
        </w:trPr>
        <w:tc>
          <w:tcPr>
            <w:tcW w:w="5055" w:type="dxa"/>
          </w:tcPr>
          <w:p w14:paraId="56E8AC6D"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Kanker</w:t>
            </w:r>
          </w:p>
        </w:tc>
        <w:tc>
          <w:tcPr>
            <w:tcW w:w="1047" w:type="dxa"/>
          </w:tcPr>
          <w:p w14:paraId="372BB87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13461</w:t>
            </w:r>
          </w:p>
        </w:tc>
        <w:tc>
          <w:tcPr>
            <w:tcW w:w="1291" w:type="dxa"/>
          </w:tcPr>
          <w:p w14:paraId="2350E2D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438</w:t>
            </w:r>
          </w:p>
        </w:tc>
        <w:tc>
          <w:tcPr>
            <w:tcW w:w="844" w:type="dxa"/>
          </w:tcPr>
          <w:p w14:paraId="711BD0C9"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29,73</w:t>
            </w:r>
          </w:p>
        </w:tc>
        <w:tc>
          <w:tcPr>
            <w:tcW w:w="992" w:type="dxa"/>
          </w:tcPr>
          <w:p w14:paraId="5325981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493,24</w:t>
            </w:r>
          </w:p>
        </w:tc>
      </w:tr>
      <w:tr w:rsidR="00A51394" w:rsidRPr="00A51394" w14:paraId="66D7EB26" w14:textId="77777777" w:rsidTr="0062755F">
        <w:trPr>
          <w:trHeight w:val="285"/>
          <w:tblCellSpacing w:w="0" w:type="dxa"/>
        </w:trPr>
        <w:tc>
          <w:tcPr>
            <w:tcW w:w="5055" w:type="dxa"/>
          </w:tcPr>
          <w:p w14:paraId="2E572528"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Ziekten van het centrale zenuwsysteem</w:t>
            </w:r>
          </w:p>
        </w:tc>
        <w:tc>
          <w:tcPr>
            <w:tcW w:w="1047" w:type="dxa"/>
          </w:tcPr>
          <w:p w14:paraId="603934D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1869686</w:t>
            </w:r>
          </w:p>
        </w:tc>
        <w:tc>
          <w:tcPr>
            <w:tcW w:w="1291" w:type="dxa"/>
          </w:tcPr>
          <w:p w14:paraId="0DACF69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304996</w:t>
            </w:r>
          </w:p>
        </w:tc>
        <w:tc>
          <w:tcPr>
            <w:tcW w:w="844" w:type="dxa"/>
          </w:tcPr>
          <w:p w14:paraId="3F7DF56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5,13</w:t>
            </w:r>
          </w:p>
        </w:tc>
        <w:tc>
          <w:tcPr>
            <w:tcW w:w="992" w:type="dxa"/>
          </w:tcPr>
          <w:p w14:paraId="5E3D0AE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85,11</w:t>
            </w:r>
          </w:p>
        </w:tc>
      </w:tr>
      <w:tr w:rsidR="00A51394" w:rsidRPr="00A51394" w14:paraId="393D2BFD" w14:textId="77777777" w:rsidTr="0062755F">
        <w:trPr>
          <w:trHeight w:val="285"/>
          <w:tblCellSpacing w:w="0" w:type="dxa"/>
        </w:trPr>
        <w:tc>
          <w:tcPr>
            <w:tcW w:w="5055" w:type="dxa"/>
          </w:tcPr>
          <w:p w14:paraId="04650998"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Guillain-Barré-syndroom</w:t>
            </w:r>
          </w:p>
        </w:tc>
        <w:tc>
          <w:tcPr>
            <w:tcW w:w="1047" w:type="dxa"/>
          </w:tcPr>
          <w:p w14:paraId="332DB834"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7568</w:t>
            </w:r>
          </w:p>
        </w:tc>
        <w:tc>
          <w:tcPr>
            <w:tcW w:w="1291" w:type="dxa"/>
          </w:tcPr>
          <w:p w14:paraId="7C006E44"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438</w:t>
            </w:r>
          </w:p>
        </w:tc>
        <w:tc>
          <w:tcPr>
            <w:tcW w:w="844" w:type="dxa"/>
          </w:tcPr>
          <w:p w14:paraId="37931C9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363636"/>
                <w:sz w:val="20"/>
                <w:szCs w:val="20"/>
              </w:rPr>
              <w:t>16,28</w:t>
            </w:r>
          </w:p>
        </w:tc>
        <w:tc>
          <w:tcPr>
            <w:tcW w:w="992" w:type="dxa"/>
          </w:tcPr>
          <w:p w14:paraId="21BBB5E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270,05</w:t>
            </w:r>
          </w:p>
        </w:tc>
      </w:tr>
      <w:tr w:rsidR="00A51394" w:rsidRPr="00A51394" w14:paraId="58A6698F" w14:textId="77777777" w:rsidTr="0062755F">
        <w:trPr>
          <w:trHeight w:val="285"/>
          <w:tblCellSpacing w:w="0" w:type="dxa"/>
        </w:trPr>
        <w:tc>
          <w:tcPr>
            <w:tcW w:w="5055" w:type="dxa"/>
          </w:tcPr>
          <w:p w14:paraId="7ACD6C09"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Beroerte</w:t>
            </w:r>
          </w:p>
        </w:tc>
        <w:tc>
          <w:tcPr>
            <w:tcW w:w="1047" w:type="dxa"/>
          </w:tcPr>
          <w:p w14:paraId="35B6A163"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7373</w:t>
            </w:r>
          </w:p>
        </w:tc>
        <w:tc>
          <w:tcPr>
            <w:tcW w:w="1291" w:type="dxa"/>
          </w:tcPr>
          <w:p w14:paraId="3A5A203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794</w:t>
            </w:r>
          </w:p>
        </w:tc>
        <w:tc>
          <w:tcPr>
            <w:tcW w:w="844" w:type="dxa"/>
          </w:tcPr>
          <w:p w14:paraId="2E92C23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8,29</w:t>
            </w:r>
          </w:p>
        </w:tc>
        <w:tc>
          <w:tcPr>
            <w:tcW w:w="992" w:type="dxa"/>
          </w:tcPr>
          <w:p w14:paraId="4F3252F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137,46</w:t>
            </w:r>
          </w:p>
        </w:tc>
      </w:tr>
      <w:tr w:rsidR="00A51394" w:rsidRPr="00A51394" w14:paraId="524D51D3" w14:textId="77777777" w:rsidTr="0062755F">
        <w:trPr>
          <w:trHeight w:val="285"/>
          <w:tblCellSpacing w:w="0" w:type="dxa"/>
        </w:trPr>
        <w:tc>
          <w:tcPr>
            <w:tcW w:w="5055" w:type="dxa"/>
          </w:tcPr>
          <w:p w14:paraId="032C6EE4"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Bloedstolsels/trombose in de hersenen</w:t>
            </w:r>
          </w:p>
        </w:tc>
        <w:tc>
          <w:tcPr>
            <w:tcW w:w="1047" w:type="dxa"/>
          </w:tcPr>
          <w:p w14:paraId="5AA6CF6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7774</w:t>
            </w:r>
          </w:p>
        </w:tc>
        <w:tc>
          <w:tcPr>
            <w:tcW w:w="1291" w:type="dxa"/>
          </w:tcPr>
          <w:p w14:paraId="4C70AE6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1028</w:t>
            </w:r>
          </w:p>
        </w:tc>
        <w:tc>
          <w:tcPr>
            <w:tcW w:w="844" w:type="dxa"/>
          </w:tcPr>
          <w:p w14:paraId="19E0083B"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6,56</w:t>
            </w:r>
          </w:p>
        </w:tc>
        <w:tc>
          <w:tcPr>
            <w:tcW w:w="992" w:type="dxa"/>
          </w:tcPr>
          <w:p w14:paraId="42A86C3E"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108,86</w:t>
            </w:r>
          </w:p>
        </w:tc>
      </w:tr>
      <w:tr w:rsidR="00A51394" w:rsidRPr="00A51394" w14:paraId="7D90B390" w14:textId="77777777" w:rsidTr="0062755F">
        <w:trPr>
          <w:trHeight w:val="285"/>
          <w:tblCellSpacing w:w="0" w:type="dxa"/>
        </w:trPr>
        <w:tc>
          <w:tcPr>
            <w:tcW w:w="5055" w:type="dxa"/>
          </w:tcPr>
          <w:p w14:paraId="7B48FA8B"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Transverse Myelitis</w:t>
            </w:r>
          </w:p>
        </w:tc>
        <w:tc>
          <w:tcPr>
            <w:tcW w:w="1047" w:type="dxa"/>
          </w:tcPr>
          <w:p w14:paraId="39C0A01B"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1248</w:t>
            </w:r>
          </w:p>
        </w:tc>
        <w:tc>
          <w:tcPr>
            <w:tcW w:w="1291" w:type="dxa"/>
          </w:tcPr>
          <w:p w14:paraId="2DCAFE2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106</w:t>
            </w:r>
          </w:p>
        </w:tc>
        <w:tc>
          <w:tcPr>
            <w:tcW w:w="844" w:type="dxa"/>
          </w:tcPr>
          <w:p w14:paraId="5F850FE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10,77</w:t>
            </w:r>
          </w:p>
        </w:tc>
        <w:tc>
          <w:tcPr>
            <w:tcW w:w="992" w:type="dxa"/>
          </w:tcPr>
          <w:p w14:paraId="0EC02D26"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178,72</w:t>
            </w:r>
          </w:p>
        </w:tc>
      </w:tr>
      <w:tr w:rsidR="00A51394" w:rsidRPr="00A51394" w14:paraId="0B019E90" w14:textId="77777777" w:rsidTr="0062755F">
        <w:trPr>
          <w:trHeight w:val="285"/>
          <w:tblCellSpacing w:w="0" w:type="dxa"/>
        </w:trPr>
        <w:tc>
          <w:tcPr>
            <w:tcW w:w="5055" w:type="dxa"/>
          </w:tcPr>
          <w:p w14:paraId="33459453"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Ziekten in verband met de zwangerschap</w:t>
            </w:r>
          </w:p>
        </w:tc>
        <w:tc>
          <w:tcPr>
            <w:tcW w:w="1047" w:type="dxa"/>
          </w:tcPr>
          <w:p w14:paraId="0F57F51E"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13278</w:t>
            </w:r>
          </w:p>
        </w:tc>
        <w:tc>
          <w:tcPr>
            <w:tcW w:w="1291" w:type="dxa"/>
          </w:tcPr>
          <w:p w14:paraId="3C6345E2"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511</w:t>
            </w:r>
          </w:p>
        </w:tc>
        <w:tc>
          <w:tcPr>
            <w:tcW w:w="844" w:type="dxa"/>
          </w:tcPr>
          <w:p w14:paraId="477CBB9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24,98</w:t>
            </w:r>
          </w:p>
        </w:tc>
        <w:tc>
          <w:tcPr>
            <w:tcW w:w="992" w:type="dxa"/>
          </w:tcPr>
          <w:p w14:paraId="1735EE3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414,47</w:t>
            </w:r>
          </w:p>
        </w:tc>
      </w:tr>
      <w:tr w:rsidR="00A51394" w:rsidRPr="00A51394" w14:paraId="4741B3FA" w14:textId="77777777" w:rsidTr="0062755F">
        <w:trPr>
          <w:trHeight w:val="285"/>
          <w:tblCellSpacing w:w="0" w:type="dxa"/>
        </w:trPr>
        <w:tc>
          <w:tcPr>
            <w:tcW w:w="5055" w:type="dxa"/>
          </w:tcPr>
          <w:p w14:paraId="582CAC37"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Miskraam</w:t>
            </w:r>
          </w:p>
        </w:tc>
        <w:tc>
          <w:tcPr>
            <w:tcW w:w="1047" w:type="dxa"/>
          </w:tcPr>
          <w:p w14:paraId="44D792C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6287</w:t>
            </w:r>
          </w:p>
        </w:tc>
        <w:tc>
          <w:tcPr>
            <w:tcW w:w="1291" w:type="dxa"/>
          </w:tcPr>
          <w:p w14:paraId="1D2672C6"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266</w:t>
            </w:r>
          </w:p>
        </w:tc>
        <w:tc>
          <w:tcPr>
            <w:tcW w:w="844" w:type="dxa"/>
          </w:tcPr>
          <w:p w14:paraId="670DDC49"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22,64</w:t>
            </w:r>
          </w:p>
        </w:tc>
        <w:tc>
          <w:tcPr>
            <w:tcW w:w="992" w:type="dxa"/>
          </w:tcPr>
          <w:p w14:paraId="19C8CBDE"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375,50</w:t>
            </w:r>
          </w:p>
        </w:tc>
      </w:tr>
      <w:tr w:rsidR="00A51394" w:rsidRPr="00A51394" w14:paraId="54D01789" w14:textId="77777777" w:rsidTr="0062755F">
        <w:trPr>
          <w:trHeight w:val="285"/>
          <w:tblCellSpacing w:w="0" w:type="dxa"/>
        </w:trPr>
        <w:tc>
          <w:tcPr>
            <w:tcW w:w="5055" w:type="dxa"/>
          </w:tcPr>
          <w:p w14:paraId="3EA25DBB"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Dood van de foetus/dood geboren</w:t>
            </w:r>
          </w:p>
        </w:tc>
        <w:tc>
          <w:tcPr>
            <w:tcW w:w="1047" w:type="dxa"/>
          </w:tcPr>
          <w:p w14:paraId="75F2959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837</w:t>
            </w:r>
          </w:p>
        </w:tc>
        <w:tc>
          <w:tcPr>
            <w:tcW w:w="1291" w:type="dxa"/>
          </w:tcPr>
          <w:p w14:paraId="7661A6B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30</w:t>
            </w:r>
          </w:p>
        </w:tc>
        <w:tc>
          <w:tcPr>
            <w:tcW w:w="844" w:type="dxa"/>
          </w:tcPr>
          <w:p w14:paraId="1B455A7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26,90</w:t>
            </w:r>
          </w:p>
        </w:tc>
        <w:tc>
          <w:tcPr>
            <w:tcW w:w="992" w:type="dxa"/>
          </w:tcPr>
          <w:p w14:paraId="4EACC36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446,25</w:t>
            </w:r>
          </w:p>
        </w:tc>
      </w:tr>
      <w:tr w:rsidR="00A51394" w:rsidRPr="00A51394" w14:paraId="1B5EECFF" w14:textId="77777777" w:rsidTr="0062755F">
        <w:trPr>
          <w:trHeight w:val="285"/>
          <w:tblCellSpacing w:w="0" w:type="dxa"/>
        </w:trPr>
        <w:tc>
          <w:tcPr>
            <w:tcW w:w="5055" w:type="dxa"/>
          </w:tcPr>
          <w:p w14:paraId="4E23BE8E" w14:textId="77777777" w:rsidR="00A51394" w:rsidRPr="00A51394" w:rsidRDefault="00A51394" w:rsidP="00A51394">
            <w:pPr>
              <w:spacing w:after="0" w:line="240" w:lineRule="auto"/>
              <w:rPr>
                <w:rFonts w:ascii="Arial" w:eastAsia="Times New Roman" w:hAnsi="Arial" w:cs="Arial"/>
                <w:sz w:val="20"/>
                <w:szCs w:val="20"/>
              </w:rPr>
            </w:pPr>
            <w:r w:rsidRPr="00A51394">
              <w:rPr>
                <w:rFonts w:ascii="Arial" w:eastAsia="Times New Roman" w:hAnsi="Arial" w:cs="Arial"/>
                <w:b/>
                <w:bCs/>
                <w:color w:val="363636"/>
                <w:sz w:val="20"/>
                <w:szCs w:val="20"/>
              </w:rPr>
              <w:t>Psychiatrische ziekten</w:t>
            </w:r>
          </w:p>
        </w:tc>
        <w:tc>
          <w:tcPr>
            <w:tcW w:w="1047" w:type="dxa"/>
          </w:tcPr>
          <w:p w14:paraId="4C523AFB"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235470</w:t>
            </w:r>
          </w:p>
        </w:tc>
        <w:tc>
          <w:tcPr>
            <w:tcW w:w="1291" w:type="dxa"/>
          </w:tcPr>
          <w:p w14:paraId="09AD908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25151</w:t>
            </w:r>
          </w:p>
        </w:tc>
        <w:tc>
          <w:tcPr>
            <w:tcW w:w="844" w:type="dxa"/>
          </w:tcPr>
          <w:p w14:paraId="628DEFEB"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8,36</w:t>
            </w:r>
          </w:p>
        </w:tc>
        <w:tc>
          <w:tcPr>
            <w:tcW w:w="992" w:type="dxa"/>
          </w:tcPr>
          <w:p w14:paraId="7A39EDA6"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138,72</w:t>
            </w:r>
          </w:p>
        </w:tc>
      </w:tr>
      <w:tr w:rsidR="00A51394" w:rsidRPr="00A51394" w14:paraId="70D3AC38" w14:textId="77777777" w:rsidTr="0062755F">
        <w:trPr>
          <w:trHeight w:val="285"/>
          <w:tblCellSpacing w:w="0" w:type="dxa"/>
        </w:trPr>
        <w:tc>
          <w:tcPr>
            <w:tcW w:w="5055" w:type="dxa"/>
          </w:tcPr>
          <w:p w14:paraId="23B6B77F"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Ziekten van de nieren of urinebuizen</w:t>
            </w:r>
          </w:p>
        </w:tc>
        <w:tc>
          <w:tcPr>
            <w:tcW w:w="1047" w:type="dxa"/>
          </w:tcPr>
          <w:p w14:paraId="33AA5A34"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42879</w:t>
            </w:r>
          </w:p>
        </w:tc>
        <w:tc>
          <w:tcPr>
            <w:tcW w:w="1291" w:type="dxa"/>
          </w:tcPr>
          <w:p w14:paraId="2953594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4027</w:t>
            </w:r>
          </w:p>
        </w:tc>
        <w:tc>
          <w:tcPr>
            <w:tcW w:w="844" w:type="dxa"/>
          </w:tcPr>
          <w:p w14:paraId="7D94D134"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9,65</w:t>
            </w:r>
          </w:p>
        </w:tc>
        <w:tc>
          <w:tcPr>
            <w:tcW w:w="992" w:type="dxa"/>
          </w:tcPr>
          <w:p w14:paraId="512AC4FB"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160,05</w:t>
            </w:r>
          </w:p>
        </w:tc>
      </w:tr>
      <w:tr w:rsidR="00A51394" w:rsidRPr="00A51394" w14:paraId="0C1F4D0B" w14:textId="77777777" w:rsidTr="0062755F">
        <w:trPr>
          <w:trHeight w:val="285"/>
          <w:tblCellSpacing w:w="0" w:type="dxa"/>
        </w:trPr>
        <w:tc>
          <w:tcPr>
            <w:tcW w:w="5055" w:type="dxa"/>
          </w:tcPr>
          <w:p w14:paraId="0382D4C9"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Nierfalen</w:t>
            </w:r>
          </w:p>
        </w:tc>
        <w:tc>
          <w:tcPr>
            <w:tcW w:w="1047" w:type="dxa"/>
          </w:tcPr>
          <w:p w14:paraId="4D29E0F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2194</w:t>
            </w:r>
          </w:p>
        </w:tc>
        <w:tc>
          <w:tcPr>
            <w:tcW w:w="1291" w:type="dxa"/>
          </w:tcPr>
          <w:p w14:paraId="5AA905B4"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152</w:t>
            </w:r>
          </w:p>
        </w:tc>
        <w:tc>
          <w:tcPr>
            <w:tcW w:w="844" w:type="dxa"/>
          </w:tcPr>
          <w:p w14:paraId="214CA249"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13,43</w:t>
            </w:r>
          </w:p>
        </w:tc>
        <w:tc>
          <w:tcPr>
            <w:tcW w:w="992" w:type="dxa"/>
          </w:tcPr>
          <w:p w14:paraId="13FA8079"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222,86</w:t>
            </w:r>
          </w:p>
        </w:tc>
      </w:tr>
      <w:tr w:rsidR="00A51394" w:rsidRPr="00A51394" w14:paraId="4DE37EC9" w14:textId="77777777" w:rsidTr="0062755F">
        <w:trPr>
          <w:trHeight w:val="285"/>
          <w:tblCellSpacing w:w="0" w:type="dxa"/>
        </w:trPr>
        <w:tc>
          <w:tcPr>
            <w:tcW w:w="5055" w:type="dxa"/>
          </w:tcPr>
          <w:p w14:paraId="27DB637B"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Ziekten in verband met de geslachtsorganen</w:t>
            </w:r>
          </w:p>
        </w:tc>
        <w:tc>
          <w:tcPr>
            <w:tcW w:w="1047" w:type="dxa"/>
          </w:tcPr>
          <w:p w14:paraId="26844046"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267693</w:t>
            </w:r>
          </w:p>
        </w:tc>
        <w:tc>
          <w:tcPr>
            <w:tcW w:w="1291" w:type="dxa"/>
          </w:tcPr>
          <w:p w14:paraId="3AA2880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5426</w:t>
            </w:r>
          </w:p>
        </w:tc>
        <w:tc>
          <w:tcPr>
            <w:tcW w:w="844" w:type="dxa"/>
          </w:tcPr>
          <w:p w14:paraId="084A7DF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48,34</w:t>
            </w:r>
          </w:p>
        </w:tc>
        <w:tc>
          <w:tcPr>
            <w:tcW w:w="992" w:type="dxa"/>
          </w:tcPr>
          <w:p w14:paraId="2CD04B3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801,84</w:t>
            </w:r>
          </w:p>
        </w:tc>
      </w:tr>
      <w:tr w:rsidR="00A51394" w:rsidRPr="00A51394" w14:paraId="174EB884" w14:textId="77777777" w:rsidTr="0062755F">
        <w:trPr>
          <w:trHeight w:val="285"/>
          <w:tblCellSpacing w:w="0" w:type="dxa"/>
        </w:trPr>
        <w:tc>
          <w:tcPr>
            <w:tcW w:w="5055" w:type="dxa"/>
          </w:tcPr>
          <w:p w14:paraId="2B83C920"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Ademhalingsweg- en longziekten</w:t>
            </w:r>
          </w:p>
        </w:tc>
        <w:tc>
          <w:tcPr>
            <w:tcW w:w="1047" w:type="dxa"/>
          </w:tcPr>
          <w:p w14:paraId="79C79DD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516620</w:t>
            </w:r>
          </w:p>
        </w:tc>
        <w:tc>
          <w:tcPr>
            <w:tcW w:w="1291" w:type="dxa"/>
          </w:tcPr>
          <w:p w14:paraId="7A007EA0"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56619</w:t>
            </w:r>
          </w:p>
        </w:tc>
        <w:tc>
          <w:tcPr>
            <w:tcW w:w="844" w:type="dxa"/>
          </w:tcPr>
          <w:p w14:paraId="0006C1D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8,12</w:t>
            </w:r>
          </w:p>
        </w:tc>
        <w:tc>
          <w:tcPr>
            <w:tcW w:w="992" w:type="dxa"/>
          </w:tcPr>
          <w:p w14:paraId="1E46A5AE"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134,78</w:t>
            </w:r>
          </w:p>
        </w:tc>
      </w:tr>
      <w:tr w:rsidR="00A51394" w:rsidRPr="00A51394" w14:paraId="471314DE" w14:textId="77777777" w:rsidTr="0062755F">
        <w:trPr>
          <w:trHeight w:val="285"/>
          <w:tblCellSpacing w:w="0" w:type="dxa"/>
        </w:trPr>
        <w:tc>
          <w:tcPr>
            <w:tcW w:w="5055" w:type="dxa"/>
          </w:tcPr>
          <w:p w14:paraId="420958D3"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Ademstilstand</w:t>
            </w:r>
          </w:p>
        </w:tc>
        <w:tc>
          <w:tcPr>
            <w:tcW w:w="1047" w:type="dxa"/>
          </w:tcPr>
          <w:p w14:paraId="7BA16B51"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4064</w:t>
            </w:r>
          </w:p>
        </w:tc>
        <w:tc>
          <w:tcPr>
            <w:tcW w:w="1291" w:type="dxa"/>
          </w:tcPr>
          <w:p w14:paraId="7A9F0C5E"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281</w:t>
            </w:r>
          </w:p>
        </w:tc>
        <w:tc>
          <w:tcPr>
            <w:tcW w:w="844" w:type="dxa"/>
          </w:tcPr>
          <w:p w14:paraId="42AA5B6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13,46</w:t>
            </w:r>
          </w:p>
        </w:tc>
        <w:tc>
          <w:tcPr>
            <w:tcW w:w="992" w:type="dxa"/>
          </w:tcPr>
          <w:p w14:paraId="1C822005"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223,33</w:t>
            </w:r>
          </w:p>
        </w:tc>
      </w:tr>
      <w:tr w:rsidR="00A51394" w:rsidRPr="00A51394" w14:paraId="7F079DE3" w14:textId="77777777" w:rsidTr="0062755F">
        <w:trPr>
          <w:trHeight w:val="285"/>
          <w:tblCellSpacing w:w="0" w:type="dxa"/>
        </w:trPr>
        <w:tc>
          <w:tcPr>
            <w:tcW w:w="5055" w:type="dxa"/>
          </w:tcPr>
          <w:p w14:paraId="42145334"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Huidziekten</w:t>
            </w:r>
          </w:p>
        </w:tc>
        <w:tc>
          <w:tcPr>
            <w:tcW w:w="1047" w:type="dxa"/>
          </w:tcPr>
          <w:p w14:paraId="20C8C17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571828</w:t>
            </w:r>
          </w:p>
        </w:tc>
        <w:tc>
          <w:tcPr>
            <w:tcW w:w="1291" w:type="dxa"/>
          </w:tcPr>
          <w:p w14:paraId="50B2C853"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82962</w:t>
            </w:r>
          </w:p>
        </w:tc>
        <w:tc>
          <w:tcPr>
            <w:tcW w:w="844" w:type="dxa"/>
          </w:tcPr>
          <w:p w14:paraId="75BBE6AD"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S.89</w:t>
            </w:r>
          </w:p>
        </w:tc>
        <w:tc>
          <w:tcPr>
            <w:tcW w:w="992" w:type="dxa"/>
          </w:tcPr>
          <w:p w14:paraId="448D6279"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97.7S</w:t>
            </w:r>
          </w:p>
        </w:tc>
      </w:tr>
      <w:tr w:rsidR="00A51394" w:rsidRPr="00A51394" w14:paraId="76D1FC5D" w14:textId="77777777" w:rsidTr="0062755F">
        <w:trPr>
          <w:trHeight w:val="285"/>
          <w:tblCellSpacing w:w="0" w:type="dxa"/>
        </w:trPr>
        <w:tc>
          <w:tcPr>
            <w:tcW w:w="5055" w:type="dxa"/>
          </w:tcPr>
          <w:p w14:paraId="6240F6D0"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Arial" w:eastAsia="Times New Roman" w:hAnsi="Arial" w:cs="Arial"/>
                <w:b/>
                <w:bCs/>
                <w:color w:val="363636"/>
                <w:sz w:val="20"/>
                <w:szCs w:val="20"/>
              </w:rPr>
              <w:t>Vaatziekten</w:t>
            </w:r>
          </w:p>
        </w:tc>
        <w:tc>
          <w:tcPr>
            <w:tcW w:w="1047" w:type="dxa"/>
          </w:tcPr>
          <w:p w14:paraId="71497262"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2286S4</w:t>
            </w:r>
          </w:p>
        </w:tc>
        <w:tc>
          <w:tcPr>
            <w:tcW w:w="1291" w:type="dxa"/>
          </w:tcPr>
          <w:p w14:paraId="29B61E3A"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28756</w:t>
            </w:r>
          </w:p>
        </w:tc>
        <w:tc>
          <w:tcPr>
            <w:tcW w:w="844" w:type="dxa"/>
          </w:tcPr>
          <w:p w14:paraId="4AB25E0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6,95</w:t>
            </w:r>
          </w:p>
        </w:tc>
        <w:tc>
          <w:tcPr>
            <w:tcW w:w="992" w:type="dxa"/>
          </w:tcPr>
          <w:p w14:paraId="37CE0CE8"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115,32</w:t>
            </w:r>
          </w:p>
        </w:tc>
      </w:tr>
      <w:tr w:rsidR="00A51394" w:rsidRPr="00A51394" w14:paraId="5BC388C9" w14:textId="77777777" w:rsidTr="0062755F">
        <w:trPr>
          <w:trHeight w:val="285"/>
          <w:tblCellSpacing w:w="0" w:type="dxa"/>
        </w:trPr>
        <w:tc>
          <w:tcPr>
            <w:tcW w:w="6102" w:type="dxa"/>
            <w:gridSpan w:val="2"/>
          </w:tcPr>
          <w:p w14:paraId="70CB850D" w14:textId="77777777" w:rsidR="00A51394" w:rsidRPr="00A51394" w:rsidRDefault="00A51394" w:rsidP="00A51394">
            <w:pPr>
              <w:spacing w:after="0" w:line="240" w:lineRule="auto"/>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Trombose (zonder trombose in de hersenen)                                    49238</w:t>
            </w:r>
          </w:p>
        </w:tc>
        <w:tc>
          <w:tcPr>
            <w:tcW w:w="1291" w:type="dxa"/>
          </w:tcPr>
          <w:p w14:paraId="4ABC3AEF"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3725</w:t>
            </w:r>
          </w:p>
        </w:tc>
        <w:tc>
          <w:tcPr>
            <w:tcW w:w="844" w:type="dxa"/>
          </w:tcPr>
          <w:p w14:paraId="322DBC5D"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r w:rsidRPr="00A51394">
              <w:rPr>
                <w:rFonts w:ascii="Times New Roman" w:eastAsia="Times New Roman" w:hAnsi="Times New Roman" w:cs="Times New Roman"/>
                <w:color w:val="4F4F4F"/>
                <w:sz w:val="20"/>
                <w:szCs w:val="20"/>
              </w:rPr>
              <w:t>12,22</w:t>
            </w:r>
          </w:p>
        </w:tc>
        <w:tc>
          <w:tcPr>
            <w:tcW w:w="992" w:type="dxa"/>
          </w:tcPr>
          <w:p w14:paraId="1FA017F3" w14:textId="77777777" w:rsidR="00A51394" w:rsidRPr="00A51394" w:rsidRDefault="00A51394" w:rsidP="00A51394">
            <w:pPr>
              <w:spacing w:after="0" w:line="240" w:lineRule="auto"/>
              <w:jc w:val="center"/>
              <w:rPr>
                <w:rFonts w:ascii="Times New Roman" w:eastAsia="Times New Roman" w:hAnsi="Times New Roman" w:cs="Times New Roman"/>
                <w:color w:val="4F4F4F"/>
                <w:sz w:val="20"/>
                <w:szCs w:val="20"/>
              </w:rPr>
            </w:pPr>
            <w:r w:rsidRPr="00A51394">
              <w:rPr>
                <w:rFonts w:ascii="Times New Roman" w:eastAsia="Times New Roman" w:hAnsi="Times New Roman" w:cs="Times New Roman"/>
                <w:color w:val="4F4F4F"/>
                <w:sz w:val="20"/>
                <w:szCs w:val="20"/>
              </w:rPr>
              <w:t>202,69</w:t>
            </w:r>
          </w:p>
        </w:tc>
      </w:tr>
      <w:tr w:rsidR="00A51394" w:rsidRPr="00A51394" w14:paraId="62F09459" w14:textId="77777777" w:rsidTr="0062755F">
        <w:trPr>
          <w:trHeight w:val="72"/>
          <w:tblCellSpacing w:w="0" w:type="dxa"/>
        </w:trPr>
        <w:tc>
          <w:tcPr>
            <w:tcW w:w="5055" w:type="dxa"/>
            <w:vAlign w:val="bottom"/>
          </w:tcPr>
          <w:p w14:paraId="77637A1B" w14:textId="77777777" w:rsidR="00A51394" w:rsidRPr="00A51394" w:rsidRDefault="00A51394" w:rsidP="00A51394">
            <w:pPr>
              <w:spacing w:after="0" w:line="240" w:lineRule="auto"/>
              <w:rPr>
                <w:rFonts w:ascii="Times New Roman" w:eastAsia="Times New Roman" w:hAnsi="Times New Roman" w:cs="Times New Roman"/>
                <w:sz w:val="20"/>
                <w:szCs w:val="20"/>
              </w:rPr>
            </w:pPr>
          </w:p>
        </w:tc>
        <w:tc>
          <w:tcPr>
            <w:tcW w:w="1047" w:type="dxa"/>
            <w:vAlign w:val="bottom"/>
          </w:tcPr>
          <w:p w14:paraId="3E505E03" w14:textId="77777777" w:rsidR="00A51394" w:rsidRPr="00A51394" w:rsidRDefault="00A51394" w:rsidP="00A51394">
            <w:pPr>
              <w:spacing w:after="0" w:line="240" w:lineRule="auto"/>
              <w:rPr>
                <w:rFonts w:ascii="Times New Roman" w:eastAsia="Times New Roman" w:hAnsi="Times New Roman" w:cs="Times New Roman"/>
                <w:sz w:val="20"/>
                <w:szCs w:val="20"/>
              </w:rPr>
            </w:pPr>
          </w:p>
        </w:tc>
        <w:tc>
          <w:tcPr>
            <w:tcW w:w="1291" w:type="dxa"/>
            <w:vAlign w:val="bottom"/>
          </w:tcPr>
          <w:p w14:paraId="2C336AD7"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p>
        </w:tc>
        <w:tc>
          <w:tcPr>
            <w:tcW w:w="844" w:type="dxa"/>
            <w:vAlign w:val="bottom"/>
          </w:tcPr>
          <w:p w14:paraId="4B967419" w14:textId="77777777" w:rsidR="00A51394" w:rsidRPr="00A51394" w:rsidRDefault="00A51394" w:rsidP="00A51394">
            <w:pPr>
              <w:spacing w:after="0" w:line="240" w:lineRule="auto"/>
              <w:rPr>
                <w:rFonts w:ascii="Times New Roman" w:eastAsia="Times New Roman" w:hAnsi="Times New Roman" w:cs="Times New Roman"/>
                <w:sz w:val="20"/>
                <w:szCs w:val="20"/>
              </w:rPr>
            </w:pPr>
          </w:p>
        </w:tc>
        <w:tc>
          <w:tcPr>
            <w:tcW w:w="992" w:type="dxa"/>
            <w:vAlign w:val="bottom"/>
          </w:tcPr>
          <w:p w14:paraId="65F0D38C" w14:textId="77777777" w:rsidR="00A51394" w:rsidRPr="00A51394" w:rsidRDefault="00A51394" w:rsidP="00A51394">
            <w:pPr>
              <w:spacing w:after="0" w:line="240" w:lineRule="auto"/>
              <w:jc w:val="center"/>
              <w:rPr>
                <w:rFonts w:ascii="Times New Roman" w:eastAsia="Times New Roman" w:hAnsi="Times New Roman" w:cs="Times New Roman"/>
                <w:sz w:val="20"/>
                <w:szCs w:val="20"/>
              </w:rPr>
            </w:pPr>
          </w:p>
        </w:tc>
      </w:tr>
    </w:tbl>
    <w:p w14:paraId="26230050" w14:textId="77777777" w:rsidR="00A51394" w:rsidRDefault="00A51394" w:rsidP="00F67ED1">
      <w:pPr>
        <w:spacing w:after="160"/>
        <w:rPr>
          <w:rStyle w:val="edit"/>
          <w:rFonts w:ascii="Arial" w:hAnsi="Arial" w:cs="Arial"/>
          <w:color w:val="000000"/>
        </w:rPr>
      </w:pPr>
    </w:p>
    <w:p w14:paraId="23AE67C0"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Officiële WHO-gegevens tonen een dramatische toename van ernstige ziekten na COVID-19 vaccinatie: tot 4600 %. De ingelaste lijst hieronder vat een systematisch overzicht van de WHO-databank samen.    Er zijn bewijzen, die nu ongeveer 200 studies samenvatten. Nog eens meer dan 200 studies wachten op herziening en opname. De studies die al geëvalueerd zijn, getuigen van een causaliteit voor 53 ziekten of ziektebeelden. U kunt ze lezen in de tekstbox hieronder. Alle ernstige ziekten zijn te vinden in deze gegevens, samen met de bronnen van de wetenschappelijke artikelen die causaliteit hebben aangetoond.</w:t>
      </w:r>
    </w:p>
    <w:p w14:paraId="200CBF12"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Het uitgangspunt voor deze systematische analyse van de bijwerkingen, waarvan is aangetoond dat ze worden veroorzaakt door de COVID-19-injectie, is de WHO-database “VigiAccess”. Deze database registreert een deel van de gezondheidsgebeurtenissen die daadwerkelijk optreden na de COVID-19-injectie, vermoedelijk ergens tussen 10% en 15%. De WHO-database werd gebruikt als basis om de TOENAME van verschillende ziekten en klassen van ziekten veroorzaakt door de COVID-19-injectie te analyseren. We zijn dus in staat om de ontwikkeling van de rapportering van “bijwerkingen van vaccins” aan de WHO-databank in kaart te brengen. En dit voor de periode van 3 mei 2021 tot 3 mei 2023, d.w.z. voor twee volledige jaren.</w:t>
      </w:r>
    </w:p>
    <w:p w14:paraId="106E4824"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 xml:space="preserve">De waarde die hieruit naar voren komt, is een groei met een factor 6.03: het aantal meldingen van ziekten die in de WHO-database zijn geregistreerd, is gegroeid van: bijna anderhalf miljoen meldingen op 3 mei 2021, naar bijna tien miljoen meldingen op 3 mei 2023. Beide </w:t>
      </w:r>
      <w:r w:rsidRPr="00C534E6">
        <w:rPr>
          <w:rStyle w:val="edit"/>
          <w:rFonts w:ascii="Arial" w:hAnsi="Arial" w:cs="Arial"/>
          <w:color w:val="000000"/>
        </w:rPr>
        <w:lastRenderedPageBreak/>
        <w:t>cijfers hebben betrekking op ziekten, niet op individuele patiënten. Op 3 mei 2023 waren er meer dan vijf miljoen meldingen van bijwerkingen geregistreerd in de database van de WHO. Deze meldingen omvatten dus in de meeste gevallen meer dan één ziekte per persoon. Dat is te bedenken. Dit helpt om te bepalen hoe de frequentie van bepaalde ziekten wordt beïnvloed door de COVID-19-injectie.</w:t>
      </w:r>
    </w:p>
    <w:p w14:paraId="031C5D04"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Als COVID-19-shots helemaal geen gevolgen voor de gezondheid zouden hebben, dan zouden de rapporten die de WHO ontvangt willekeurig verdeeld moeten zijn. Er zou geen verschil moeten zijn in de totale groei of in de groei van individuele ziekten. Dit betekent dat de wiskundig berekende getallen in de laatste kolom van de tabel 100 zouden moeten zijn.</w:t>
      </w:r>
    </w:p>
    <w:p w14:paraId="732DA0DA"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Zoals de tabel laat zien, is de hypothese niet juist, maar zo fout als maar kan. Er zijn exorbitante verschillen voor verschillende ernstige ziekten, bv. een onevenredige rapportering van het syndroom van Graves, een ziekte van de schildklier, met 1.670 %, een onevenredige rapportering van pericarditis met 1.460 % en van myocarditis met 746 %, een onevenredige rapportering van gevallen van auto-immune hepatitis na de COVID-19 injectie met 1.580 % en een exorbitante toename van het vaak fatale multisysteem-inflammatoir syndroom met 4.957 %. Kanker, met een stijging van 493 %.</w:t>
      </w:r>
    </w:p>
    <w:p w14:paraId="54F86F70"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br/>
        <w:t>Over kanker gesproken, honderden YouTubers die Covid-vaccins promootten tijdens de pandemie lijden nu ook aan turbokanker. Velen van hen werden betaald door de overheid en Big Pharma om hun volgers ervan te overtuigen dat de introductie van het vaccin een goede zaak was. Bekijk een 1ste verzameling van deze nu huilende social influencers op Pravda-TV - al het geld in de wereld is nu nutteloos voor hen en voor hen komt elke redding te laat.</w:t>
      </w:r>
    </w:p>
    <w:p w14:paraId="7F6ADB46"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Terug naar onze lijst. Het toont ook een onevenredig aantal meldingen van doodgeborenen of doodgeboren foetussen - in percentages uitgedrukt: 446%, dan eindeloze meldingen van miskramen, die meer dan 375% boven het verwachte aantal meldingen zijn gestegen - ook zij tonen het angstaanjagende beeld van medische bemoeienis die op grote schaal letsel veroorzaakt.</w:t>
      </w:r>
      <w:r w:rsidRPr="00C534E6">
        <w:rPr>
          <w:rStyle w:val="edit"/>
          <w:rFonts w:ascii="Arial" w:hAnsi="Arial" w:cs="Arial"/>
          <w:color w:val="000000"/>
        </w:rPr>
        <w:br/>
        <w:t>Het maakt niet echt uit waar je naar kijkt: Schade aan het lymfestelsel, beroertes, ziekten van het centrale zenuwstelsel, overal vind je rode lampen die continu knipperen. Dat is feit.</w:t>
      </w:r>
      <w:r w:rsidR="00F213A8">
        <w:rPr>
          <w:rStyle w:val="edit"/>
          <w:rFonts w:ascii="Arial" w:hAnsi="Arial" w:cs="Arial"/>
          <w:color w:val="000000"/>
        </w:rPr>
        <w:t xml:space="preserve"> </w:t>
      </w:r>
      <w:r w:rsidRPr="00C534E6">
        <w:rPr>
          <w:rStyle w:val="edit"/>
          <w:rFonts w:ascii="Arial" w:hAnsi="Arial" w:cs="Arial"/>
          <w:color w:val="000000"/>
        </w:rPr>
        <w:t xml:space="preserve">Maar al deze tragedies leiden niet tot echte hulp. Waarom niet? Omdat ze deel uitmaken, zoals we steeds betuigen, van een opzettelijk chaosmanagement, dat aantoonbaar precies zo gepland is door machtselites. En nu wordt omgezet. We staan aan de helse afgrond van een wereldvernietigingsplan dat al vele decennia bewust wordt uitgevoerd. Prof. Bhakdi en allerlei anderen hebben het actueel aangekondigd. Nu is het zover! Maar nog steeds weigeren bijna alle openbare ministeries van deze wereld als het ware actie te ondernemen, hoewel er aantoonbaar tienduizenden aanklachten zijn ingediend. De wereldbevolking moet er samen achter zien te komen waarom de meest uiteenlopende varianten van genocide op dit moment als het ware gedekt worden door openbare ministeries en rechtbanken: Dat is nu onze opdracht. Omdat ze ook veel andere zeer ernstige vervolgingen weigeren. Dit, hoewel miljoenen lijdende mensen getuigen dat de straling van mobiele telefoons door WLAN-, 4G-, 5G-antennes enz. hun gezondheid hebben geschaad. Zij schreeuwen, men hoort hen niet. Ook openen ze geen strafzaken tegen de frauduleuze Big Pharma, hoewel duizenden studies van experts van hoog niveau hun moorddadige werk hebben blootgelegd en om vervolging hebben gevraagd. De openbare ministeries en de rechterlijke macht vermijden ook categorisch consequente strafrechtelijke vervolging van talloze ontmaskerde bloedsekten met hun rituele moorden, nog steeds. En dit ondanks het feit dat talloze slachtoffers keer op keer getuigen dat deze wereldwijde netwerken van kinderhandel bestaan en dat kinderlokkerringen tot in </w:t>
      </w:r>
      <w:r w:rsidRPr="00C534E6">
        <w:rPr>
          <w:rStyle w:val="edit"/>
          <w:rFonts w:ascii="Arial" w:hAnsi="Arial" w:cs="Arial"/>
          <w:color w:val="000000"/>
        </w:rPr>
        <w:lastRenderedPageBreak/>
        <w:t>de hoogste etages van regeringen en machthebbers van allerlei genre reiken. Tot op de dag van vandaag veroordelen dezelfde gerechtelijke functionarissen oeroude soldaten van het Derde Rijk als medeplichtigen aan de moord op het volk, ook al oefenden ze midden in de oorlog slechts onwetende gehoorzaamheid uit aan hun superieuren. Ze zouden deserteurs zijn geweest als ze dat niet hadden gedaan.</w:t>
      </w:r>
    </w:p>
    <w:p w14:paraId="3ED2CF16"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Japan heeft, ik moet zeggen: God zei dank, nu echter al een onderzoek gelast naar de covid-vaccinaties omdat het aantal sterfgevallen zo omhoog is geschoten, dat er sprake is van een nationale crisis: Een vernieuwend geval van de complottheorie van gisteren die vandaag tot feit wordt verklaard: De mainstream media melden eindelijk dat, wat we al duidelijk hebben benadrukt vanaf het begin en wat we allang wisten. Biden, Fauci en Gates hebben ons letterlijk met verkeerde informatie overvoerd. Er was gewoon geen “winter van ernstige ziekte en dood” voor de niet-gevaccineerden, zoals er altijd werd gedreigd. In werkelijkheid is het een pandemie onder de gevaccineerden, zo garandeert de waarheid.</w:t>
      </w:r>
    </w:p>
    <w:p w14:paraId="3D9A59DF"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Uit nieuwe gegevens blijkt dat het aantal sterfgevallen in Japan met 400% is gestegen sinds Pfizer vorig jaar de derde dosis van het boostervaccin lanceerde. “Het aantal extra sterfgevallen was ongeveer vier keer zo hoog als in 2017, 2018, 2019 en 2021”, aldus een rapport in The Exposé. Deze statistieken hebben de gevestigde orde in Japan geschokt. Dus zijn er officiële onderzoeken aan de gang en worden er rechtszaken voorbereid. De hele wereldbevolking moet zich nu, vandaag, op precies deze manier verenigen. Ze moet dezelfde normen toepassen op alle machthebbers in de rechterlijke macht en inspectiediensten die op dit moment nog steeds weigeren dit te doen.</w:t>
      </w:r>
    </w:p>
    <w:p w14:paraId="4EF19DBB"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br/>
        <w:t>We hebben dringend behoefte aan nieuwe en onafhankelijke gerechtelijke instanties die elke dekking van betuigde genociden en clandestiene oorlogsvoering vakkundig zullen bestraffen. Maar, en dit is misschien wel het allerergste van de hele tragedie: de meeste van onze tijdgenoten zijn als het ware in een diepe hypnotische slaap gevallen. Van vroeg tot laat staren ze bij elke gelegenheid naar het vervloekte scherm van hun mobiele telefoons, terwijl ze van het ene stralingsgebied naar het andere gaan. Daarbij worden hun gedachten en emoties permanent geremd door WLAN en gsm-masten. Als dit zo doorgaat, zal de overgrote meerderheid van de mensen pas opletten als de slinkse geplande chaos, de duivels gezaaide ziekten, de financiële ondergang, enz. recht voor hun deur staan. Pas dan zullen ze beseffen wat er aan de hand is. Maar dan zal het te laat zijn - er is een te laat, geliefden.</w:t>
      </w:r>
    </w:p>
    <w:p w14:paraId="41E056CD" w14:textId="77777777" w:rsidR="00F213A8" w:rsidRDefault="00F67ED1" w:rsidP="00F213A8">
      <w:pPr>
        <w:spacing w:after="160"/>
        <w:jc w:val="both"/>
        <w:rPr>
          <w:rStyle w:val="edit"/>
          <w:rFonts w:ascii="Arial" w:hAnsi="Arial" w:cs="Arial"/>
          <w:color w:val="000000"/>
        </w:rPr>
      </w:pPr>
      <w:r w:rsidRPr="00C534E6">
        <w:rPr>
          <w:rStyle w:val="edit"/>
          <w:rFonts w:ascii="Arial" w:hAnsi="Arial" w:cs="Arial"/>
          <w:color w:val="000000"/>
        </w:rPr>
        <w:t>Ik zal daarom afsluiten met de laatste pogingen van de WHO en de VN om te profiteren van onze onverschillige en trage toestand. De instellingen die net miljoenen mensen wereldwijd de meest ernstige schade hebben berokkend, proberen zich nu ook nog eens op te werken tot een alleenheerschappij. Dus in plaats van te buigen voor al de tienduizenden onafhankelijke professionals, hun fouten toe te geven en zich over te geven als betrapte criminelen, doen ze er gewoon nog 1 bovenop. Net als een massamoordenaar die alle getuigen bedreigt en probeert te doden, bedreigen volgende instellingen alle getuigen van de waarheid. Zoals we meteen zullen zien. Ze doen dit door besluiten te nemen om alle echte deskundige stemmen en competente getuigen online en met alle middelen mentaal uit te schakelen. Op deze manier hopen ze te ontsnappen aan de arrestaties en zware straffen die wereldwijd geëist worden. Let op de recente “ontsnappingsplannen”, van deze instellingen, in drie stappen: wat in de laatste maanden is gebeurd.</w:t>
      </w:r>
    </w:p>
    <w:p w14:paraId="33A8B75C" w14:textId="77777777" w:rsidR="00367CC0" w:rsidRDefault="00F67ED1" w:rsidP="00F213A8">
      <w:pPr>
        <w:spacing w:after="160"/>
        <w:jc w:val="both"/>
        <w:rPr>
          <w:rStyle w:val="edit"/>
          <w:rFonts w:ascii="Arial" w:hAnsi="Arial" w:cs="Arial"/>
          <w:color w:val="000000"/>
        </w:rPr>
      </w:pPr>
      <w:r w:rsidRPr="00C534E6">
        <w:rPr>
          <w:rStyle w:val="edit"/>
          <w:rFonts w:ascii="Arial" w:hAnsi="Arial" w:cs="Arial"/>
          <w:color w:val="000000"/>
        </w:rPr>
        <w:t>De 1ste vond plaats op 31 januari 2023. In een door de WHO aanbevolen artikel in Foreign Affairs adviseren gezondheidswetenschappers en -functionarissen uitgerekend die regerin</w:t>
      </w:r>
      <w:r w:rsidRPr="00C534E6">
        <w:rPr>
          <w:rStyle w:val="edit"/>
          <w:rFonts w:ascii="Arial" w:hAnsi="Arial" w:cs="Arial"/>
          <w:color w:val="000000"/>
        </w:rPr>
        <w:lastRenderedPageBreak/>
        <w:t>gen die grote delen van de bevolking sinds Covid-19 niet meer achter zich hebben en niet meer vertrouwen. Ze adviseren hen namelijk om te “investeren” in betrouwbare instellingen en personen opdat dezen reclame maken voor pandemische maatregelen. Kortom, hier verleidt de WHO uitgerekend die regeringen die al hun vertrouwen hebben opgebruikt om stiekeme reclamemakers in te huren. Op deze manier kunnen ze als het ware de aandacht afleiden van al hun “lijken in de kast” – maar weten wat alle misleide volkeren hier luidkeels tegen zeggen: “Nee, niet zo! Nee, niet zo!” Wat de WHO nu nodig heeft zijn geen sluipreclamemakers die ook nieuwe PR voor haar doen. Wat het nu nodig heeft zijn hele legers van openbare aanklagers en overgebleven justitieambtenaren die opstaan tegen de WHO en eindelijk aanklachten indienen voor de moedwillige en heimelijke massamisdaden - strafrechtelijke aanklachten moeten niet alleen worden ingediend, maar ook worden afgedwongen - en de WHO voor een rechtvaardige rechtbank slepen!</w:t>
      </w:r>
    </w:p>
    <w:p w14:paraId="0D043AE9" w14:textId="77777777" w:rsidR="00367CC0" w:rsidRDefault="00F67ED1" w:rsidP="00F213A8">
      <w:pPr>
        <w:spacing w:after="160"/>
        <w:jc w:val="both"/>
        <w:rPr>
          <w:rStyle w:val="edit"/>
          <w:rFonts w:ascii="Arial" w:hAnsi="Arial" w:cs="Arial"/>
          <w:color w:val="000000"/>
        </w:rPr>
      </w:pPr>
      <w:r w:rsidRPr="00C534E6">
        <w:rPr>
          <w:rStyle w:val="edit"/>
          <w:rFonts w:ascii="Arial" w:hAnsi="Arial" w:cs="Arial"/>
          <w:color w:val="000000"/>
        </w:rPr>
        <w:t xml:space="preserve">Op 31 mei 2023, precies vier maanden later, zetten de WHO-leden een tweede stap in de verkeerde richting. Ze konden deze stap alleen zetten, omdat de WHO in de tussentijd niet professioneel uit de roulatie was genomen. Dus namen de lidstaten een resolutie aan tijdens de Wereldgezondheidsvergadering in Genève. Hierin werden alle regeringen en de WHO opgeroepen om meer en systematisch gebruik te maken van de gedragswetenschappen. Dit met het doel om “gezondheidsgerelateerde verkeerde informatie en desinformatie” tegen te gaan en zo de vraag naar vaccins te waarborgen, ze bevorderen, maar één belang het vaccin veilig te stellen, niet onze gezondheid. In gewone taal betekent dit dat WHO-leden hier een besluit hebben genomen om de publieke opinie te manipuleren tegen beter weten in! En wij zeggen: Hier moet precies het tegenovergestelde gebeuren! Het publiek moet nog steeds volledig geïnformeerd worden over de misdaden van de WHO en haar handlangers. Dat is de weg en geen tweede. </w:t>
      </w:r>
    </w:p>
    <w:p w14:paraId="2AC2396F" w14:textId="77777777" w:rsidR="00367CC0" w:rsidRDefault="00F67ED1" w:rsidP="00F213A8">
      <w:pPr>
        <w:spacing w:after="160"/>
        <w:jc w:val="both"/>
        <w:rPr>
          <w:rStyle w:val="edit"/>
          <w:rFonts w:ascii="Arial" w:hAnsi="Arial" w:cs="Arial"/>
          <w:color w:val="000000"/>
        </w:rPr>
      </w:pPr>
      <w:r w:rsidRPr="00C534E6">
        <w:rPr>
          <w:rStyle w:val="edit"/>
          <w:rFonts w:ascii="Arial" w:hAnsi="Arial" w:cs="Arial"/>
          <w:color w:val="000000"/>
        </w:rPr>
        <w:br/>
        <w:t>Maar omdat ook aan deze behoefte niet op tijd werd voldaan, gingen deze volksverwoesters op 13 juni 2023 nog een stap verder. Want op deze dag presenteerde secretaris-generaal António Guterres van de VN een programma. Hiermee wil de wereldorganisatie, let goed op, ervoor zorgen dat inhouden uit de online platformen en media die de “empirisch onderbouwde consensus over feiten, wetenschap en kennis” verstoort, verdwijnt. De tekst gaat verder, hebt u dat goed begrepen? Dit omdat hun bekwaamheid om “wetenschappelijk vastgestelde feiten te ondermijnen met desinformatie” een “existentieel risico voor de mensheid” is</w:t>
      </w:r>
    </w:p>
    <w:p w14:paraId="1AD34168" w14:textId="7B4E04BC" w:rsidR="00367CC0" w:rsidRDefault="00F67ED1" w:rsidP="00F213A8">
      <w:pPr>
        <w:spacing w:after="160"/>
        <w:jc w:val="both"/>
        <w:rPr>
          <w:rStyle w:val="edit"/>
          <w:rFonts w:ascii="Arial" w:hAnsi="Arial" w:cs="Arial"/>
          <w:color w:val="000000"/>
        </w:rPr>
      </w:pPr>
      <w:r w:rsidRPr="00C534E6">
        <w:rPr>
          <w:rStyle w:val="edit"/>
          <w:rFonts w:ascii="Arial" w:hAnsi="Arial" w:cs="Arial"/>
          <w:color w:val="000000"/>
        </w:rPr>
        <w:t xml:space="preserve">Nogmaals, in gewone taal betekent dit dat de VN de EU het begin van online censuur wereldwijd totaal wil doorzetten! Per wet! En natuurlijk is de censuur, zoals altijd gewoonlijk, uitsluitend gericht tegen alle echt onafhankelijke wetenschappers en vrije media. Met andere woorden, tegen degenen die het hele wereldbedrog vanaf het begin van Big Pharma en het hele vaccinatiesysteem hebben doorzien en eindelijk aan het licht willen brengen. Omdat ook hier de vereiste publieke discussie consequent werd geweigerd, of dan op al te kleine schaal heeft plaatsgevonden, proberen de onbeschaamde moordenaars, zoals Goethe zou zeggen, zich juist door middel van een algemene aanval onaantastbaar en tegelijkertijd almachtig te maken. Daarom moet ook hier precies het tegenovergestelde gebeuren: Deze zwaarste criminelen moeten eindelijk veroordeeld worden door alle echt onafhankelijke wetenschappers. Zien jullie dat ook zo? De desinformatie van de echte criminelen moet aan het licht gebracht worden door de empirisch ondersteunde consensus van echte en onafhankelijke wetenschappers. Het zijn tenslotte de criminelen van Big Pharma en de WHO die consequent alle echte, wetenschappelijk vaststaande feiten hebben ondermijnd. Dat hebben we 1000-voudig bewezen. </w:t>
      </w:r>
      <w:r w:rsidRPr="00C534E6">
        <w:rPr>
          <w:rStyle w:val="edit"/>
          <w:rFonts w:ascii="Arial" w:hAnsi="Arial" w:cs="Arial"/>
          <w:color w:val="000000"/>
        </w:rPr>
        <w:br/>
      </w:r>
      <w:r w:rsidRPr="00C534E6">
        <w:rPr>
          <w:rStyle w:val="edit"/>
          <w:rFonts w:ascii="Arial" w:hAnsi="Arial" w:cs="Arial"/>
          <w:color w:val="000000"/>
        </w:rPr>
        <w:lastRenderedPageBreak/>
        <w:t>Degenen die volkeren hebben gekweld, de middenklasse ernstige schade hebben toegebracht, de gezondheid van miljoenen hebben geschonden en tienduizenden hebben gedood tijdens de hele covid plandemie - dezen alleen zijn een existentieel risico voor de mensheid. Is toch volledig uit de hand</w:t>
      </w:r>
      <w:r w:rsidR="00367CC0">
        <w:rPr>
          <w:rStyle w:val="edit"/>
          <w:rFonts w:ascii="Arial" w:hAnsi="Arial" w:cs="Arial"/>
          <w:color w:val="000000"/>
        </w:rPr>
        <w:t xml:space="preserve"> gelopen</w:t>
      </w:r>
      <w:r w:rsidRPr="00C534E6">
        <w:rPr>
          <w:rStyle w:val="edit"/>
          <w:rFonts w:ascii="Arial" w:hAnsi="Arial" w:cs="Arial"/>
          <w:color w:val="000000"/>
        </w:rPr>
        <w:t>. Dus als de wereldbevolking nu niet eensgezind actie onderneemt en echt onafhankelijke rechtbanken bijeenroept, is ze binnenkort verloren. Dat is ons probleem. We kunnen er niet omheen: alle wetten en gerechtelijke instellingen die tijdens de plandemie niet werkten, omdat de gevolmachtigden zich nergens iets van aantrokken, sterker nog, die aantoonbaar geen vinger uitstaken ondanks tienduizenden aanklachten, die moeten uit hun machtspositie worden verwijderd. De misleide volkeren moeten ze allemaal onmiddellijk afgezet verklaren wegens hoogverraad. Daarheen moet het gaan. Als we dit niet doen, zullen deze duistere mensen hun plannen voor de totale uitschakeling van alle vrije ophelderaars en alle heilzame waarheid totaal doorzetten. Alle echte wetenschap zal dan teneinde zijn. Dit is precies wat we samen willen voorkomen, oké? Wie ons wil steunen moet zijn krachten laten samengaan met al die vrije wetenschappers, juridische diensten en vrije media. Met andere woorden, met degenen die nog de moed hebben om zich te verzetten tegen dit hele wereldgezondheidscomplot.</w:t>
      </w:r>
    </w:p>
    <w:p w14:paraId="7D7475E6" w14:textId="77777777" w:rsidR="00367CC0" w:rsidRDefault="00F67ED1" w:rsidP="00F213A8">
      <w:pPr>
        <w:spacing w:after="160"/>
        <w:jc w:val="both"/>
        <w:rPr>
          <w:rStyle w:val="edit"/>
          <w:rFonts w:ascii="Arial" w:hAnsi="Arial" w:cs="Arial"/>
          <w:color w:val="000000"/>
        </w:rPr>
      </w:pPr>
      <w:r w:rsidRPr="00C534E6">
        <w:rPr>
          <w:rStyle w:val="edit"/>
          <w:rFonts w:ascii="Arial" w:hAnsi="Arial" w:cs="Arial"/>
          <w:color w:val="000000"/>
        </w:rPr>
        <w:t>Er kan op dit moment maar 1 correct praktisch gedrag zijn ten opzichte van al deze aangewakkerde rampspoed: Neem deze uitzending en verspreid het waar u maar kunt. Doe het ook zo met alle mogelijke uitzendingen op het net. Doe hetzelfde met al onze topuitzendingen van Kla.TV. In onze twaalf rubrieken vindt u onthullingen over vele andere vormen van deze bewust aangewakkerde chaos. Wordt op een of andere manier verbonden, bijvoorbeeld door u vandaag nog te registreren via “Kla.TV - Word actief!” (www.kla.tv/aktiv-werden). Neem deel aan deze ophelderingstrijd zolang de totale censuur er nog niet is - maar het zou morgen al een bittere realiteit kunnen worden, door de wet gedekt. Dat zou dan ons probleem zijn.</w:t>
      </w:r>
    </w:p>
    <w:p w14:paraId="6516B209" w14:textId="2E5E9485" w:rsidR="00F67ED1" w:rsidRPr="00C534E6" w:rsidRDefault="00F67ED1" w:rsidP="00F213A8">
      <w:pPr>
        <w:spacing w:after="160"/>
        <w:jc w:val="both"/>
        <w:rPr>
          <w:rStyle w:val="edit"/>
          <w:rFonts w:ascii="Arial" w:hAnsi="Arial" w:cs="Arial"/>
          <w:color w:val="000000"/>
        </w:rPr>
      </w:pPr>
      <w:r w:rsidRPr="00C534E6">
        <w:rPr>
          <w:rStyle w:val="edit"/>
          <w:rFonts w:ascii="Arial" w:hAnsi="Arial" w:cs="Arial"/>
          <w:color w:val="000000"/>
        </w:rPr>
        <w:t>Ik ben Ivo Sasek, die al 47 jaar voor God staat.</w:t>
      </w:r>
    </w:p>
    <w:p w14:paraId="32B8EBA5"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door is.</w:t>
      </w:r>
    </w:p>
    <w:p w14:paraId="7B34F3C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397812A6" w14:textId="77DBF29C" w:rsidR="00F202F1" w:rsidRPr="00C534E6" w:rsidRDefault="00F202F1" w:rsidP="00C534E6">
      <w:pPr>
        <w:spacing w:after="160"/>
        <w:rPr>
          <w:rStyle w:val="edit"/>
          <w:rFonts w:ascii="Arial" w:hAnsi="Arial" w:cs="Arial"/>
          <w:color w:val="000000"/>
          <w:szCs w:val="18"/>
        </w:rPr>
      </w:pPr>
      <w:r w:rsidRPr="002B28C8">
        <w:t>Bronnen:</w:t>
      </w:r>
      <w:r w:rsidR="00000000">
        <w:br/>
      </w:r>
      <w:r w:rsidRPr="002B28C8">
        <w:t>Auswertung der WHO-Datenbank</w:t>
      </w:r>
      <w:r w:rsidR="00000000">
        <w:br/>
      </w:r>
      <w:r w:rsidRPr="002B28C8">
        <w:t>( Evaluatie van de WHO gegevensbank)</w:t>
      </w:r>
      <w:r w:rsidR="00000000">
        <w:br/>
      </w:r>
      <w:hyperlink r:id="rId11" w:history="1">
        <w:r w:rsidRPr="00F24C6F">
          <w:rPr>
            <w:rStyle w:val="Hyperlink"/>
            <w:sz w:val="18"/>
          </w:rPr>
          <w:t>https://sciencefiles.org/2023/05/04/bis-zu-4600-daten-der-who-zeigen-dramatisches-wachstum-schwerer-erkrankungen-nach-covid-19-shot-erste-systematische-auswertung-der-who-datenbank/</w:t>
        </w:r>
      </w:hyperlink>
      <w:r w:rsidR="00000000">
        <w:br/>
      </w:r>
      <w:r w:rsidR="00000000">
        <w:br/>
      </w:r>
      <w:r w:rsidRPr="002B28C8">
        <w:t>Stiko-Chef empfiehlt Impfgeschädigten, zu schwiegen:</w:t>
      </w:r>
      <w:r w:rsidR="00000000">
        <w:br/>
      </w:r>
      <w:r w:rsidRPr="002B28C8">
        <w:t>(Hoofd van de Stiko raadt mensen met vaccinatieschade aan te zwijgen)</w:t>
      </w:r>
      <w:r w:rsidR="00000000">
        <w:br/>
      </w:r>
      <w:hyperlink r:id="rId12" w:history="1">
        <w:r w:rsidRPr="00F24C6F">
          <w:rPr>
            <w:rStyle w:val="Hyperlink"/>
            <w:sz w:val="18"/>
          </w:rPr>
          <w:t>https://norberthaering.de/news/mertens-post-vac/</w:t>
        </w:r>
      </w:hyperlink>
      <w:r w:rsidR="00000000">
        <w:br/>
      </w:r>
      <w:hyperlink r:id="rId13" w:history="1">
        <w:r w:rsidRPr="00F24C6F">
          <w:rPr>
            <w:rStyle w:val="Hyperlink"/>
            <w:sz w:val="18"/>
          </w:rPr>
          <w:t>https://www.ardmediathek.de/video/zur-sache-baden-wuerttemberg/krank-nach-corona-impfung-werden-betroffene-im-stich-gelassen/swr-bw/Y3JpZDovL3N3ci5kZS9hZXgvbzE4NjMxNjI</w:t>
        </w:r>
      </w:hyperlink>
      <w:r w:rsidR="00000000">
        <w:br/>
      </w:r>
      <w:r w:rsidR="00000000">
        <w:br/>
      </w:r>
      <w:r w:rsidRPr="002B28C8">
        <w:t>Youtuber leiden an Turbokrebs:</w:t>
      </w:r>
      <w:r w:rsidR="00000000">
        <w:br/>
      </w:r>
      <w:r w:rsidRPr="002B28C8">
        <w:t>(Youtubers lijden aan turbokanker)</w:t>
      </w:r>
      <w:r w:rsidR="00000000">
        <w:br/>
      </w:r>
      <w:hyperlink r:id="rId14" w:history="1">
        <w:r w:rsidRPr="00F24C6F">
          <w:rPr>
            <w:rStyle w:val="Hyperlink"/>
            <w:sz w:val="18"/>
          </w:rPr>
          <w:t>https://www.pravda-tv.com/2023/06/hunderte-von-youtubern-die-waehrend-der-pandemie-fuer-covid-impfstoffe-geworben-haben-leiden-jetzt-an-turbo-krebs/</w:t>
        </w:r>
      </w:hyperlink>
      <w:r w:rsidR="00000000">
        <w:br/>
      </w:r>
      <w:r w:rsidR="00000000">
        <w:br/>
      </w:r>
      <w:r w:rsidRPr="002B28C8">
        <w:t>Japan ordnet Untersuchung der Covid-Impfungen an:</w:t>
      </w:r>
      <w:r w:rsidR="00000000">
        <w:br/>
      </w:r>
      <w:r w:rsidRPr="002B28C8">
        <w:lastRenderedPageBreak/>
        <w:t>(Japan gelast onderzoek van de coid-vaccinaties)</w:t>
      </w:r>
      <w:r w:rsidR="00000000">
        <w:br/>
      </w:r>
      <w:hyperlink r:id="rId15" w:history="1">
        <w:r w:rsidRPr="00F24C6F">
          <w:rPr>
            <w:rStyle w:val="Hyperlink"/>
            <w:sz w:val="18"/>
          </w:rPr>
          <w:t>https://telegra.ph/Das-ist-eine-nationale-Krise-Japan-ordnet-Untersuchung-der-Covid-Impfungen-an-da-die-Zahl-der-Todesf%C3%A4lle-in-die-H%C3%B6he-schie%C3%9Ft-06-10</w:t>
        </w:r>
      </w:hyperlink>
      <w:r w:rsidR="00000000">
        <w:br/>
      </w:r>
      <w:r w:rsidR="00000000">
        <w:br/>
      </w:r>
      <w:r w:rsidRPr="002B28C8">
        <w:t>„Fluchtpläne“ von WHO und UN:</w:t>
      </w:r>
      <w:r w:rsidR="00000000">
        <w:br/>
      </w:r>
      <w:r w:rsidRPr="002B28C8">
        <w:t>( „Vluchtplannen“ van de WHO en VN)</w:t>
      </w:r>
      <w:r w:rsidR="00000000">
        <w:br/>
      </w:r>
      <w:r w:rsidRPr="002B28C8">
        <w:t>norberthaering.de/news/globallistening-project/</w:t>
      </w:r>
    </w:p>
    <w:p w14:paraId="4E70348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19D2C03" w14:textId="77777777" w:rsidR="00C534E6" w:rsidRPr="00F27954" w:rsidRDefault="00C534E6" w:rsidP="00C534E6">
      <w:pPr>
        <w:keepLines/>
        <w:spacing w:after="160"/>
        <w:rPr>
          <w:rFonts w:ascii="Arial" w:hAnsi="Arial" w:cs="Arial"/>
          <w:sz w:val="18"/>
          <w:szCs w:val="18"/>
          <w:lang w:val="en-US"/>
        </w:rPr>
      </w:pPr>
      <w:r w:rsidRPr="00F27954">
        <w:rPr>
          <w:lang w:val="en-US"/>
        </w:rPr>
        <w:t xml:space="preserve">#Vaccinatie - </w:t>
      </w:r>
      <w:hyperlink r:id="rId16" w:history="1">
        <w:r w:rsidRPr="00F27954">
          <w:rPr>
            <w:rStyle w:val="Hyperlink"/>
            <w:lang w:val="en-US"/>
          </w:rPr>
          <w:t>www.kla.tv/Vaccinatie</w:t>
        </w:r>
      </w:hyperlink>
      <w:r w:rsidR="00000000" w:rsidRPr="00F27954">
        <w:rPr>
          <w:lang w:val="en-US"/>
        </w:rPr>
        <w:br/>
      </w:r>
      <w:r w:rsidR="00000000" w:rsidRPr="00F27954">
        <w:rPr>
          <w:lang w:val="en-US"/>
        </w:rPr>
        <w:br/>
      </w:r>
      <w:r w:rsidRPr="00F27954">
        <w:rPr>
          <w:lang w:val="en-US"/>
        </w:rPr>
        <w:t xml:space="preserve">#Ivo-Sasek - Ivo Sasek - </w:t>
      </w:r>
      <w:hyperlink r:id="rId17" w:history="1">
        <w:r w:rsidRPr="00F27954">
          <w:rPr>
            <w:rStyle w:val="Hyperlink"/>
            <w:lang w:val="en-US"/>
          </w:rPr>
          <w:t>www.kla.tv/Ivo-Sasek-nl</w:t>
        </w:r>
      </w:hyperlink>
      <w:r w:rsidR="00000000" w:rsidRPr="00F27954">
        <w:rPr>
          <w:lang w:val="en-US"/>
        </w:rPr>
        <w:br/>
      </w:r>
      <w:r w:rsidR="00000000" w:rsidRPr="00F27954">
        <w:rPr>
          <w:lang w:val="en-US"/>
        </w:rPr>
        <w:br/>
      </w:r>
      <w:r w:rsidRPr="00F27954">
        <w:rPr>
          <w:lang w:val="en-US"/>
        </w:rPr>
        <w:t xml:space="preserve">#Mediacommentaar - </w:t>
      </w:r>
      <w:hyperlink r:id="rId18" w:history="1">
        <w:r w:rsidRPr="00F27954">
          <w:rPr>
            <w:rStyle w:val="Hyperlink"/>
            <w:lang w:val="en-US"/>
          </w:rPr>
          <w:t>www.kla.tv/Mediacommentaar-nl</w:t>
        </w:r>
      </w:hyperlink>
      <w:r w:rsidR="00000000" w:rsidRPr="00F27954">
        <w:rPr>
          <w:lang w:val="en-US"/>
        </w:rPr>
        <w:br/>
      </w:r>
      <w:r w:rsidR="00000000" w:rsidRPr="00F27954">
        <w:rPr>
          <w:lang w:val="en-US"/>
        </w:rPr>
        <w:br/>
      </w:r>
      <w:r w:rsidRPr="00F27954">
        <w:rPr>
          <w:lang w:val="en-US"/>
        </w:rPr>
        <w:t xml:space="preserve">#Vaccinatieschade - </w:t>
      </w:r>
      <w:hyperlink r:id="rId19" w:history="1">
        <w:r w:rsidRPr="00F27954">
          <w:rPr>
            <w:rStyle w:val="Hyperlink"/>
            <w:lang w:val="en-US"/>
          </w:rPr>
          <w:t>www.kla.tv/Vaccinatieschade</w:t>
        </w:r>
      </w:hyperlink>
      <w:r w:rsidR="00000000" w:rsidRPr="00F27954">
        <w:rPr>
          <w:lang w:val="en-US"/>
        </w:rPr>
        <w:br/>
      </w:r>
      <w:r w:rsidR="00000000" w:rsidRPr="00F27954">
        <w:rPr>
          <w:lang w:val="en-US"/>
        </w:rPr>
        <w:br/>
      </w:r>
      <w:r w:rsidRPr="00F27954">
        <w:rPr>
          <w:lang w:val="en-US"/>
        </w:rPr>
        <w:t xml:space="preserve">#STIKO - </w:t>
      </w:r>
      <w:hyperlink r:id="rId20" w:history="1">
        <w:r w:rsidRPr="00F27954">
          <w:rPr>
            <w:rStyle w:val="Hyperlink"/>
            <w:lang w:val="en-US"/>
          </w:rPr>
          <w:t>www.kla.tv/STIKO-nl</w:t>
        </w:r>
      </w:hyperlink>
    </w:p>
    <w:p w14:paraId="45AE55A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91A313E" wp14:editId="2CE0048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4C194E26" w14:textId="77777777" w:rsidR="00FF4982" w:rsidRPr="009779AD" w:rsidRDefault="00FF4982" w:rsidP="00FF4982">
      <w:pPr>
        <w:pStyle w:val="Lijstalinea"/>
        <w:keepNext/>
        <w:keepLines/>
        <w:numPr>
          <w:ilvl w:val="0"/>
          <w:numId w:val="1"/>
        </w:numPr>
        <w:ind w:left="714" w:hanging="357"/>
      </w:pPr>
      <w:r>
        <w:t>wat de media niet zouden moeten verzwijgen ...</w:t>
      </w:r>
    </w:p>
    <w:p w14:paraId="01D7D728" w14:textId="77777777" w:rsidR="00FF4982" w:rsidRPr="009779AD" w:rsidRDefault="00FF4982" w:rsidP="00FF4982">
      <w:pPr>
        <w:pStyle w:val="Lijstalinea"/>
        <w:keepNext/>
        <w:keepLines/>
        <w:numPr>
          <w:ilvl w:val="0"/>
          <w:numId w:val="1"/>
        </w:numPr>
        <w:ind w:left="714" w:hanging="357"/>
      </w:pPr>
      <w:r>
        <w:t>zelden gehoord van het volk, voor het volk ...</w:t>
      </w:r>
    </w:p>
    <w:p w14:paraId="5065DAB8"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3" w:history="1">
        <w:r w:rsidR="001D6477" w:rsidRPr="001D6477">
          <w:rPr>
            <w:rStyle w:val="Hyperlink"/>
          </w:rPr>
          <w:t>www.kla.tv/nl</w:t>
        </w:r>
      </w:hyperlink>
    </w:p>
    <w:p w14:paraId="6E849FBB" w14:textId="77777777" w:rsidR="00FF4982" w:rsidRPr="001D6477" w:rsidRDefault="00FF4982" w:rsidP="001D6477">
      <w:pPr>
        <w:keepNext/>
        <w:keepLines/>
        <w:ind w:firstLine="357"/>
      </w:pPr>
      <w:r w:rsidRPr="001D6477">
        <w:t>Het is de moeite waard om het bij te houden!</w:t>
      </w:r>
    </w:p>
    <w:p w14:paraId="70F0C670"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4" w:history="1">
        <w:r w:rsidRPr="001D6477">
          <w:rPr>
            <w:rStyle w:val="Hyperlink"/>
            <w:b/>
          </w:rPr>
          <w:t>www.kla.tv/abo-nl</w:t>
        </w:r>
      </w:hyperlink>
    </w:p>
    <w:p w14:paraId="5FF99A1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59A4C3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0B6B83C0"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5" w:history="1">
        <w:r w:rsidR="00C60E18" w:rsidRPr="006C4827">
          <w:rPr>
            <w:rStyle w:val="Hyperlink"/>
            <w:b/>
          </w:rPr>
          <w:t>www.kla.tv/vernetzung&amp;lang=nl</w:t>
        </w:r>
      </w:hyperlink>
    </w:p>
    <w:p w14:paraId="36AA0A15"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291B2D5A" wp14:editId="12A79BE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4519D59"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3C0B" w14:textId="77777777" w:rsidR="00625AAC" w:rsidRDefault="00625AAC" w:rsidP="00F33FD6">
      <w:pPr>
        <w:spacing w:after="0" w:line="240" w:lineRule="auto"/>
      </w:pPr>
      <w:r>
        <w:separator/>
      </w:r>
    </w:p>
  </w:endnote>
  <w:endnote w:type="continuationSeparator" w:id="0">
    <w:p w14:paraId="6553B9E1" w14:textId="77777777" w:rsidR="00625AAC" w:rsidRDefault="00625AA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FB22"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Pandemie van de gevaccineerden – de odyssee is begonnen (door Kla.TV-oprichter Ivo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0179" w14:textId="77777777" w:rsidR="00625AAC" w:rsidRDefault="00625AAC" w:rsidP="00F33FD6">
      <w:pPr>
        <w:spacing w:after="0" w:line="240" w:lineRule="auto"/>
      </w:pPr>
      <w:r>
        <w:separator/>
      </w:r>
    </w:p>
  </w:footnote>
  <w:footnote w:type="continuationSeparator" w:id="0">
    <w:p w14:paraId="3D3898F0" w14:textId="77777777" w:rsidR="00625AAC" w:rsidRDefault="00625AAC" w:rsidP="00F33FD6">
      <w:pPr>
        <w:spacing w:after="0" w:line="240" w:lineRule="auto"/>
      </w:pPr>
      <w:r>
        <w:continuationSeparator/>
      </w:r>
    </w:p>
  </w:footnote>
  <w:footnote w:id="1">
    <w:p w14:paraId="76DE3194" w14:textId="2121A314" w:rsidR="00A51394" w:rsidRDefault="00A51394">
      <w:pPr>
        <w:pStyle w:val="Voetnoottekst"/>
      </w:pPr>
      <w:r>
        <w:rPr>
          <w:rStyle w:val="Voetnootmarkering"/>
        </w:rPr>
        <w:footnoteRef/>
      </w:r>
      <w:r>
        <w:t xml:space="preserve"> </w:t>
      </w:r>
      <w:r w:rsidRPr="00C534E6">
        <w:rPr>
          <w:rStyle w:val="edit"/>
          <w:rFonts w:ascii="Arial" w:hAnsi="Arial" w:cs="Arial"/>
          <w:color w:val="000000"/>
        </w:rPr>
        <w:t>(https://www.ardmediathek.de/video/zur-sache-baden-wuerttemberg/krank-nach-corona-impfung-werden-betroffene-im-stich-gelassen/swr-bw/Y3JpZDovL3N3ci5kZS9hZXgvbzE4NjMxNjI  min 13:25-13:52, laat uittreksel zien)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F27954" w14:paraId="18E6A7F7" w14:textId="77777777" w:rsidTr="00FE2F5D">
      <w:tc>
        <w:tcPr>
          <w:tcW w:w="7717" w:type="dxa"/>
          <w:tcBorders>
            <w:left w:val="nil"/>
            <w:bottom w:val="single" w:sz="8" w:space="0" w:color="365F91" w:themeColor="accent1" w:themeShade="BF"/>
          </w:tcBorders>
        </w:tcPr>
        <w:p w14:paraId="6088F588" w14:textId="77777777" w:rsidR="00F33FD6" w:rsidRPr="00F27954" w:rsidRDefault="00F67ED1" w:rsidP="00FE2F5D">
          <w:pPr>
            <w:pStyle w:val="Koptekst"/>
            <w:ind w:left="-57"/>
            <w:rPr>
              <w:rFonts w:ascii="Arial" w:hAnsi="Arial" w:cs="Arial"/>
              <w:sz w:val="18"/>
              <w:lang w:val="de-DE"/>
            </w:rPr>
          </w:pPr>
          <w:r w:rsidRPr="00F27954">
            <w:rPr>
              <w:rFonts w:ascii="Arial" w:hAnsi="Arial" w:cs="Arial"/>
              <w:b/>
              <w:sz w:val="18"/>
              <w:lang w:val="de-DE"/>
            </w:rPr>
            <w:t>Online-Link:</w:t>
          </w:r>
          <w:r w:rsidR="00F33FD6" w:rsidRPr="00F27954">
            <w:rPr>
              <w:rFonts w:ascii="Arial" w:hAnsi="Arial" w:cs="Arial"/>
              <w:sz w:val="18"/>
              <w:lang w:val="de-DE"/>
            </w:rPr>
            <w:t xml:space="preserve"> </w:t>
          </w:r>
          <w:hyperlink r:id="rId1" w:history="1">
            <w:r w:rsidR="00F33FD6" w:rsidRPr="00F27954">
              <w:rPr>
                <w:rStyle w:val="Hyperlink"/>
                <w:rFonts w:ascii="Arial" w:hAnsi="Arial" w:cs="Arial"/>
                <w:sz w:val="18"/>
                <w:lang w:val="de-DE"/>
              </w:rPr>
              <w:t>www.kla.tv/26547</w:t>
            </w:r>
          </w:hyperlink>
          <w:r w:rsidR="00F33FD6" w:rsidRPr="00F27954">
            <w:rPr>
              <w:rFonts w:ascii="Arial" w:hAnsi="Arial" w:cs="Arial"/>
              <w:sz w:val="18"/>
              <w:lang w:val="de-DE"/>
            </w:rPr>
            <w:t xml:space="preserve"> | </w:t>
          </w:r>
          <w:r w:rsidRPr="00F27954">
            <w:rPr>
              <w:rFonts w:ascii="Arial" w:hAnsi="Arial" w:cs="Arial"/>
              <w:b/>
              <w:sz w:val="18"/>
              <w:lang w:val="de-DE"/>
            </w:rPr>
            <w:t xml:space="preserve">Uitgiftedatum: </w:t>
          </w:r>
          <w:r w:rsidR="00F33FD6" w:rsidRPr="00F27954">
            <w:rPr>
              <w:rFonts w:ascii="Arial" w:hAnsi="Arial" w:cs="Arial"/>
              <w:sz w:val="18"/>
              <w:lang w:val="de-DE"/>
            </w:rPr>
            <w:t>15.07.2023</w:t>
          </w:r>
        </w:p>
        <w:p w14:paraId="01404012" w14:textId="77777777" w:rsidR="00F33FD6" w:rsidRPr="00F27954" w:rsidRDefault="00F33FD6" w:rsidP="00FE2F5D">
          <w:pPr>
            <w:pStyle w:val="Koptekst"/>
            <w:rPr>
              <w:rFonts w:ascii="Arial" w:hAnsi="Arial" w:cs="Arial"/>
              <w:sz w:val="18"/>
              <w:lang w:val="de-DE"/>
            </w:rPr>
          </w:pPr>
        </w:p>
      </w:tc>
    </w:tr>
  </w:tbl>
  <w:p w14:paraId="63C675C3" w14:textId="340C091D" w:rsidR="00F33FD6" w:rsidRPr="00B9284F" w:rsidRDefault="00F33FD6" w:rsidP="00FE2F5D">
    <w:pPr>
      <w:pStyle w:val="Koptekst"/>
      <w:tabs>
        <w:tab w:val="clear" w:pos="4536"/>
        <w:tab w:val="clear" w:pos="9072"/>
        <w:tab w:val="left" w:pos="7995"/>
      </w:tabs>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592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67CC0"/>
    <w:rsid w:val="00397567"/>
    <w:rsid w:val="003C19C9"/>
    <w:rsid w:val="004F3BE5"/>
    <w:rsid w:val="00503FFA"/>
    <w:rsid w:val="00625AAC"/>
    <w:rsid w:val="00627ADC"/>
    <w:rsid w:val="006C4827"/>
    <w:rsid w:val="007C459E"/>
    <w:rsid w:val="00A05C56"/>
    <w:rsid w:val="00A51394"/>
    <w:rsid w:val="00A71903"/>
    <w:rsid w:val="00AE2B81"/>
    <w:rsid w:val="00B9284F"/>
    <w:rsid w:val="00C205D1"/>
    <w:rsid w:val="00C534E6"/>
    <w:rsid w:val="00C60E18"/>
    <w:rsid w:val="00CB20A5"/>
    <w:rsid w:val="00D2736E"/>
    <w:rsid w:val="00E81F93"/>
    <w:rsid w:val="00F202F1"/>
    <w:rsid w:val="00F213A8"/>
    <w:rsid w:val="00F27954"/>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582A7"/>
  <w15:docId w15:val="{3D672AE2-DE61-478C-8A3F-8EA66A57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paragraph" w:styleId="Voetnoottekst">
    <w:name w:val="footnote text"/>
    <w:basedOn w:val="Standaard"/>
    <w:link w:val="VoetnoottekstChar"/>
    <w:uiPriority w:val="99"/>
    <w:semiHidden/>
    <w:unhideWhenUsed/>
    <w:rsid w:val="00A5139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51394"/>
    <w:rPr>
      <w:sz w:val="20"/>
      <w:szCs w:val="20"/>
    </w:rPr>
  </w:style>
  <w:style w:type="character" w:styleId="Voetnootmarkering">
    <w:name w:val="footnote reference"/>
    <w:basedOn w:val="Standaardalinea-lettertype"/>
    <w:uiPriority w:val="99"/>
    <w:semiHidden/>
    <w:unhideWhenUsed/>
    <w:rsid w:val="00A51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6547" TargetMode="External"/><Relationship Id="rId13" Type="http://schemas.openxmlformats.org/officeDocument/2006/relationships/hyperlink" Target="https://www.ardmediathek.de/video/zur-sache-baden-wuerttemberg/krank-nach-corona-impfung-werden-betroffene-im-stich-gelassen/swr-bw/Y3JpZDovL3N3ci5kZS9hZXgvbzE4NjMxNjI" TargetMode="External"/><Relationship Id="rId18" Type="http://schemas.openxmlformats.org/officeDocument/2006/relationships/hyperlink" Target="https://www.kla.tv/Mediacommentaar-nl" TargetMode="External"/><Relationship Id="rId26" Type="http://schemas.openxmlformats.org/officeDocument/2006/relationships/image" Target="media/image4.bin"/><Relationship Id="rId3" Type="http://schemas.openxmlformats.org/officeDocument/2006/relationships/styles" Target="styles.xml"/><Relationship Id="rId21" Type="http://schemas.openxmlformats.org/officeDocument/2006/relationships/hyperlink" Target="https://www.kla.tv/nl" TargetMode="External"/><Relationship Id="rId7" Type="http://schemas.openxmlformats.org/officeDocument/2006/relationships/endnotes" Target="endnotes.xml"/><Relationship Id="rId12" Type="http://schemas.openxmlformats.org/officeDocument/2006/relationships/hyperlink" Target="https://norberthaering.de/news/mertens-post-vac/" TargetMode="External"/><Relationship Id="rId17" Type="http://schemas.openxmlformats.org/officeDocument/2006/relationships/hyperlink" Target="https://www.kla.tv/Ivo-Sasek-nl" TargetMode="External"/><Relationship Id="rId25" Type="http://schemas.openxmlformats.org/officeDocument/2006/relationships/hyperlink" Target="https://www.kla.tv/vernetzung&amp;lang=nl" TargetMode="External"/><Relationship Id="rId2" Type="http://schemas.openxmlformats.org/officeDocument/2006/relationships/numbering" Target="numbering.xml"/><Relationship Id="rId16" Type="http://schemas.openxmlformats.org/officeDocument/2006/relationships/hyperlink" Target="https://www.kla.tv/Vaccinatie" TargetMode="External"/><Relationship Id="rId20" Type="http://schemas.openxmlformats.org/officeDocument/2006/relationships/hyperlink" Target="https://www.kla.tv/STIKO-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files.org/2023/05/04/bis-zu-4600-daten-der-who-zeigen-dramatisches-wachstum-schwerer-erkrankungen-nach-covid-19-shot-erste-systematische-auswertung-der-who-datenbank/" TargetMode="External"/><Relationship Id="rId24" Type="http://schemas.openxmlformats.org/officeDocument/2006/relationships/hyperlink" Target="https://www.kla.tv/abo-nl" TargetMode="External"/><Relationship Id="rId5" Type="http://schemas.openxmlformats.org/officeDocument/2006/relationships/webSettings" Target="webSettings.xml"/><Relationship Id="rId15" Type="http://schemas.openxmlformats.org/officeDocument/2006/relationships/hyperlink" Target="https://telegra.ph/Das-ist-eine-nationale-Krise-Japan-ordnet-Untersuchung-der-Covid-Impfungen-an-da-die-Zahl-der-Todesf%C3%A4lle-in-die-H%C3%B6he-schie%C3%9Ft-06-10" TargetMode="External"/><Relationship Id="rId23" Type="http://schemas.openxmlformats.org/officeDocument/2006/relationships/hyperlink" Target="https://www.kla.tv/n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kla.tv/Vaccinatieschade" TargetMode="Externa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pravda-tv.com/2023/06/hunderte-von-youtubern-die-waehrend-der-pandemie-fuer-covid-impfstoffe-geworben-haben-leiden-jetzt-an-turbo-krebs/"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kla.tv/265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A99E-F6B7-4155-8F15-639368A8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3880</Words>
  <Characters>21343</Characters>
  <Application>Microsoft Office Word</Application>
  <DocSecurity>0</DocSecurity>
  <Lines>177</Lines>
  <Paragraphs>50</Paragraphs>
  <ScaleCrop>false</ScaleCrop>
  <HeadingPairs>
    <vt:vector size="4" baseType="variant">
      <vt:variant>
        <vt:lpstr>Titel</vt:lpstr>
      </vt:variant>
      <vt:variant>
        <vt:i4>1</vt:i4>
      </vt:variant>
      <vt:variant>
        <vt:lpstr>Pandemie van de gevaccineerden – de odyssee is begonnen (door Kla.TV-oprichter Ivo Sasek)</vt:lpstr>
      </vt:variant>
      <vt:variant>
        <vt:i4>1</vt:i4>
      </vt:variant>
    </vt:vector>
  </HeadingPairs>
  <TitlesOfParts>
    <vt:vector size="2" baseType="lpstr">
      <vt:lpstr/>
      <vt:lpstr/>
    </vt:vector>
  </TitlesOfParts>
  <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3</cp:revision>
  <dcterms:created xsi:type="dcterms:W3CDTF">2023-07-15T17:45:00Z</dcterms:created>
  <dcterms:modified xsi:type="dcterms:W3CDTF">2023-07-28T03:21:00Z</dcterms:modified>
</cp:coreProperties>
</file>