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0d6460fec64da2" /><Relationship Type="http://schemas.openxmlformats.org/package/2006/relationships/metadata/core-properties" Target="/package/services/metadata/core-properties/7d9c4c0105be46a396fdb627f52ec764.psmdcp" Id="Ra15c68b06b1c4a7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Für wen gelten die Menschenrechte?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10. Dezember 1948 verkündete die Generalversammlung der Vereinten Nationen (UNGA) in Paris die „Allgemeine Erklärung der Menschenrechte“, obwohl...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10. Dezember 1948 verkündete</w:t>
        <w:br/>
        <w:t xml:space="preserve">die Generalversammlung</w:t>
        <w:br/>
        <w:t xml:space="preserve">der Vereinten Nationen</w:t>
        <w:br/>
        <w:t xml:space="preserve">(UNGA) in Paris die </w:t>
        <w:br/>
        <w:t xml:space="preserve">„Allgemeine</w:t>
        <w:br/>
        <w:t xml:space="preserve">Erklärung der Menschenrechte“,</w:t>
        <w:br/>
        <w:t xml:space="preserve">obwohl sie überhaupt</w:t>
        <w:br/>
        <w:t xml:space="preserve">nicht für völkerrechtliche Beschlüsse</w:t>
        <w:br/>
        <w:t xml:space="preserve">zuständig ist. Sie bediente</w:t>
        <w:br/>
        <w:t xml:space="preserve">sich des </w:t>
        <w:br/>
        <w:t xml:space="preserve">Tricks mit der</w:t>
        <w:br/>
        <w:t xml:space="preserve">„Verkündigung“, um den Anschein</w:t>
        <w:br/>
        <w:t xml:space="preserve">zu erwecken, es handle</w:t>
        <w:br/>
        <w:t xml:space="preserve">sich um etwas Rechtsverbindliches.</w:t>
        <w:br/>
        <w:t xml:space="preserve">So wurde die Erklärung in</w:t>
        <w:br/>
        <w:t xml:space="preserve">die </w:t>
        <w:br/>
        <w:t xml:space="preserve">Sammlungen des Völkerrechts</w:t>
        <w:br/>
        <w:t xml:space="preserve">aufgenommen*, und seitdem</w:t>
        <w:br/>
        <w:t xml:space="preserve">ist es weltweit üblich, auf</w:t>
        <w:br/>
        <w:t xml:space="preserve">Einhaltung der Menschenrechte</w:t>
        <w:br/>
        <w:t xml:space="preserve">hinzuweisen bzw. sie </w:t>
        <w:br/>
        <w:t xml:space="preserve">verbal einzufordern.</w:t>
        <w:br/>
        <w:t xml:space="preserve">Dies gilt offensichtlich nicht bei</w:t>
        <w:br/>
        <w:t xml:space="preserve">Friedensnobelpreisträger Präsident</w:t>
        <w:br/>
        <w:t xml:space="preserve">Obama! Er befürwortet Folter</w:t>
        <w:br/>
        <w:t xml:space="preserve">und nennt seine </w:t>
        <w:br/>
        <w:t xml:space="preserve">geplanten</w:t>
        <w:br/>
        <w:t xml:space="preserve">Kriege verharmlosend Militärschläge,</w:t>
        <w:br/>
        <w:t xml:space="preserve">während er gleichzeitig</w:t>
        <w:br/>
        <w:t xml:space="preserve">andere Staaten mit militärischen</w:t>
        <w:br/>
        <w:t xml:space="preserve">Mitteln zur Einhaltung der </w:t>
        <w:br/>
        <w:t xml:space="preserve">Menschenrechte</w:t>
        <w:br/>
        <w:t xml:space="preserve">zwingen will. Warum</w:t>
        <w:br/>
        <w:t xml:space="preserve">fordert sie wohl niemand</w:t>
        <w:br/>
        <w:t xml:space="preserve">von ihm ein?</w:t>
        <w:br/>
        <w:t xml:space="preserve">*Beck-Texte im dtv, Völkerrechtliche</w:t>
        <w:br/>
        <w:t xml:space="preserve">Verträge, 9. Auflage 2002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lvl.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Leserbrief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Für wen gelten die Menschenrechte?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Für wen gelten die Menschenrechte?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