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07397943e74f8b" /><Relationship Type="http://schemas.openxmlformats.org/package/2006/relationships/metadata/core-properties" Target="/package/services/metadata/core-properties/db6f22d131a94125bc0f5ea1dd3458c6.psmdcp" Id="Rf5230e4015814b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schmutzige Welt der Kosmetik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wöchentlich neu auf den Markt kommenden Kosmetika versprechen uns ewige Jugend und verschweigen uns Risiken bzw. Nebenwirkungen.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wöchentlich neu auf den Markt kommenden Kosmetika versprechen uns ewige Jugend und verschweigen uns Risiken bzw. Nebenwirkungen. Giftige Schminke wird ganz legal in deutschen Geschäften verkauft. Nach wie vor werden allergene Stoffe verwendet und Hersteller halten sich nicht an Vorgaben. Produziert wird in China, in den gleichen Fabriken, in denen auch Druck- und Wandfarben hergestellt werden – überall werden die gleichen Farbpigmente beigemischt. Dabei handelt es sich nicht nur um Billigprodukte, sondern auch um hochpreisige Pflegelinien wie z.B. „Clinique“ oder „L´Oréal“. Besonders in Kinderkosmetik lauern häufig krebserregende Farben und giftige Chemikalien. Selbst Naturkosmetik aus dem Reformhaus, wie Haarfärbemittel auf Hennabasis, enthalten chemische Farbkeulen aus hochexplosiven indischen „Chemielaboren“.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http://www.wdr.de/tv/diestory/sendungsbeitraege/2011/1212/ungeschminkt.jsp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schmutzige Welt der Kosmetik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dr.de/tv/diestory/sendungsbeitraege/2011/1212/ungeschminkt.js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schmutzige Welt der Kosmetik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