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e8e4ca5e574902" /><Relationship Type="http://schemas.openxmlformats.org/package/2006/relationships/metadata/core-properties" Target="/package/services/metadata/core-properties/1ddd9a009aad48129b8691c774c2fdf6.psmdcp" Id="R660dfedc799940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 weiterer Versuch die Armee abzuschaffen?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Armeegegner wissen, dass die Schweizer Bevölkerung sich bei Abstimmungen immer
zugunsten der Armee entschieden hat. Darum versuchen sie...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Armeegegner wissen, dass die Schweizer Bevölkerung sich bei Abstimmungen immer</w:t>
        <w:br/>
        <w:t xml:space="preserve">zugunsten der Armee entschieden hat. Darum versuchen sie die Armee auf Umwegen zu schwächen,</w:t>
        <w:br/>
        <w:t xml:space="preserve">bis diese ihre Glaubwürdigkeit verloren hat. Nach den Abstimmungen über die Initiative für den „Schutz vor Waffengewalt“ und der „Abschaffung der Wehrpflicht“ ist das Referendum gegen die Gripen-Kampfflugzeuge bereits der dritte Versuch, die Landesverteidigung zu schwächen. Bis jetzt hat das Volk die versteckte Absicht durchschaut, doch dieses Mal wird eine besonders perfide Kampagne</w:t>
        <w:br/>
        <w:t xml:space="preserve">geführt. Seit über einem Jahr werden mit allen Mitteln Zweifel gesät: zuerst am Auswahlverfahren,</w:t>
        <w:br/>
        <w:t xml:space="preserve">dann am Flugzeug selbst. Dabei wurde der Kampfjet in einem sorgfältigen und bedürfnisorientierten</w:t>
        <w:br/>
        <w:t xml:space="preserve">Verfahren ausgewählt und das Preis-Leistungsverhältnis als hervorragend eingestuft. Auch der Kauf wird vollständig aus dem Armeebudget finanziert und es sind keine zusätzlichen Steuergelder</w:t>
        <w:br/>
        <w:t xml:space="preserve">erforderlich. Somit sind die Kostenargumente der Gegner  schlichtweg Propaganda. Erkennen</w:t>
        <w:br/>
        <w:t xml:space="preserve">wir die wahren Absichten hinter dieser Kampagne?„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Zeitung: Schweizerzeit Nr. 7 vom 11.4.2014, Seite 5 und 6 „Ein Grundpfeiler unserer Unabhängigkeit“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1">
        <w:r w:rsidRPr="00F24C6F">
          <w:rPr>
            <w:rStyle w:val="Hyperlink"/>
          </w:rPr>
          <w:t>www.kla.tv/CH-Politik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 weiterer Versuch die Armee abzuschaffen?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H-Politik"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 weiterer Versuch die Armee abzuschaffen?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