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a0a198a8b492c" /><Relationship Type="http://schemas.openxmlformats.org/package/2006/relationships/metadata/core-properties" Target="/package/services/metadata/core-properties/500189b104d7473cbc3f37e45f4dc65b.psmdcp" Id="R95a867e858854a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Weshalb "Nein" zum staatlich diktierten[...] Mindestlohn?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Weshalb "Nein" zum staatlich diktierten Mindestlohn?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sind die Wurzeln des Wohlstandes in der Schweiz? Hier lebt eine Bevölkerung, die sich in entscheidenden Situationen stets als innovativ und anpassungsfähig gezeigt hat. Die Schweizer sind sich gewöhnt, selber anzupacken und nicht immer sofort nach dem Staat zu schreien. Es kann nicht sein, dass alle gesellschaftlichen und wirtschaftlichen Tätigkeiten durch den Staat – genauer: durch die Bürokratie des Staateskontrolliert werden müssen. Deshalb braucht es keine Mindestlohn-Regulierung. Mit einem flächendeckenden Mindestlohn werden die wirtschaftlich unterschiedlichen Regionen allesamt gleichgeschaltet. Lebenshaltungskosten, Lohnniveau, Steuerbelastung, Mietpreise, Topographie und wirtschaftliche Strukturen können nicht über einen Kamm geschert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Schweizerzeit Nr.7, 11.4.2014, „Nein zum staatlich diktierten Mindestlohn“ und „Unsinnige Auswirkungen“.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1">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Weshalb "Nein" zum staatlich diktierten[...] Mindestlohn?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Polit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Weshalb "Nein" zum staatlich diktierten[...] Mindestlohn?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