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7ffad4339f1428e" /><Relationship Type="http://schemas.openxmlformats.org/package/2006/relationships/metadata/core-properties" Target="/package/services/metadata/core-properties/fb7171e316ae48489f43cdabfda22b33.psmdcp" Id="R01cc8afff9564e7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Wer finanziert die gewaltbereiten Gegendemonstranten?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Am Samstag, den 5. April 2014, fand die dritte Großdemonstration gegen die Bildungspläne in Baden-Württemberg statt. Die ca. 2.500 Teilnehmer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Am Samstag, den 5. April 2014, fand die dritte Großdemonstration gegen die Bildungspläne in Baden-Württemberg statt. Die ca. 2.500 Teilnehmer mussten durch etwa 500 Polizeibeamte geschützt werden. Denn das „Antifaschistische Aktionsbündnis Stuttgart &amp; Region“ hatte im Vorfeld auf seiner Homepage nicht nur zum Stören und Blockieren dieser rechtmäßigen Demonstration aufgerufen, sondern auch zum Vermummen, um eine Strafverfolgung unmöglich zu machen. Da Demonstrationen gegen die Frühsexualisierung der Kinder regelmäßig und planmäßig gestört werden, stellt sich die Frage: Sind solche gewalttätigen Ausschreitungen systematisch organisiert? Waren die Randalierer vielleicht wiederum bezahlte Aktivisten, so wie bei den Krawallen gegen die Familienkonferenz des Compact-Magazins im November 2013? Dort wurde die Störaktion der ca. 400 vermummten „Antifa-Randalierer“ von SPD und Linkspartei finanziell unterstützt.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wk.</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http://demofueralle.wordpress.com/2014/04/11/wir-kommen-wieder/#more-346</w:t>
        </w:r>
      </w:hyperlink>
      <w:hyperlink w:history="true" r:id="rId22">
        <w:r w:rsidRPr="00F24C6F">
          <w:rPr>
            <w:rStyle w:val="Hyperlink"/>
          </w:rPr>
          <w:rPr>
            <w:sz w:val="18"/>
          </w:rPr>
          <w:t>https://compact-online.de/compact-konferenz-grosser-sieg-fuer-die-meinungsfreiheit-und-die-familie/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Wer finanziert die gewaltbereiten Gegendemonstranten?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www.kla.tv/3110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19.05.2014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demofueralle.wordpress.com/2014/04/11/wir-kommen-wieder/#more-346" TargetMode="External" Id="rId21" /><Relationship Type="http://schemas.openxmlformats.org/officeDocument/2006/relationships/hyperlink" Target="https://compact-online.de/compact-konferenz-grosser-sieg-fuer-die-meinungsfreiheit-und-die-familie/"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11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11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Wer finanziert die gewaltbereiten Gegendemonstranten?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