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12 abissi della detenzione collettiva - Richiesta urgente di aiuto a tutti! (di Ivo Sasek)</w:t>
      </w:r>
    </w:p>
    <w:p>
      <w:pPr>
        <w:pStyle w:val="Normal"/>
        <w:widowControl w:val="false"/>
        <w:spacing w:before="0" w:after="160"/>
        <w:rPr>
          <w:rStyle w:val="Edit"/>
          <w:rFonts w:ascii="Arial" w:hAnsi="Arial" w:cs="Arial"/>
          <w:b/>
          <w:color w:val="000000"/>
        </w:rPr>
      </w:pPr>
      <w:r>
        <w:rPr>
          <w:rStyle w:val="Edit"/>
          <w:rFonts w:cs="Arial" w:ascii="Arial" w:hAnsi="Arial"/>
          <w:b/>
          <w:color w:val="000000"/>
        </w:rPr>
        <w:t>Ogni forma di detenzione collettiva conosciuta finora è stata un gioco da ragazzi rispetto alla detenzione collettiva finanziaria che le persone stanno attualmente subendo - e, curiosamente, senza che si rendano conto di ciò che sta accadendo. Oltre a svelare 12 abissi della detenzione collettiva, il fondatore di Kla.TV Ivo Sasek propone un nuovo e rivoluzionario sistema di assistenza sanitaria, come possibile via d'uscita dalla disumanizzazione della detenzione collettiva a carico dell'assicurazione sanitaria. Per superare i 12 abissi qui rivelati, servono ora tutti gli esperti necessari. Un appello urgente di aiuto a tutti!</w:t>
      </w:r>
    </w:p>
    <w:p>
      <w:pPr>
        <w:pStyle w:val="Normal"/>
        <w:spacing w:before="0" w:after="160"/>
        <w:rPr>
          <w:rStyle w:val="Edit"/>
          <w:rFonts w:ascii="Arial" w:hAnsi="Arial" w:cs="Arial"/>
          <w:color w:val="000000"/>
        </w:rPr>
      </w:pPr>
      <w:r>
        <w:rPr>
          <w:rStyle w:val="Edit"/>
          <w:rFonts w:cs="Arial" w:ascii="Arial" w:hAnsi="Arial"/>
          <w:color w:val="000000"/>
        </w:rPr>
        <w:t>Se oggi parlo di detenzione collettiva, prima di tutto ci viene un brivido alla schiena. Riflessi incontrollabili ci segnalano immediatamente che oggi non può più esistere. Come società informata, abbiamo superato le tragedie del Medioevo! Riflessi un po' più contemporanei ci ricordano poi le tragiche scene di detenzione collettiva sotto il nazionalsocialismo negli anni Trenta o Quaranta. O la detenzione familiare (Sippenhaft) praticata dal governo israeliano con le sue pene collettive negli anni Ottanta. O le purghe spirituali nella Corea del Nord negli anni Cinquanta sotto Kim Il-Sung.</w:t>
        <w:br/>
        <w:t>Allora perché dovremmo tormentare la nostra mente rimuginando sulla detenzione collettiva? Forse è vero che con tutte le misure di sicurezza contro il neofascismo, il “caso di Philipp Scheidemann” non dovrebbe potersi ripetere. È inconcepibile che la Gestapo possa mai più intervenire, come fece il 13 luglio 1933, per trascinare o costringere con la forza i parenti di un accusato alla detenzione collettiva. Ma vi chiedo: siete davvero sicuri che la nostra “società trendy” non abbia più nulla a che fare con la detenzione collettiva?</w:t>
        <w:br/>
        <w:t>Lasciate che vi acuisca la consapevolezza sul fatto che tutte le precedenti detenzioni collettive nella storia dell'umanità erano solo uno scherzo rispetto a ciò che dobbiamo subire ogni giorno in tutti gli ambiti della nostra vita. E, curiosamente, senza che la maggior parte delle persone si renda conto di ciò che sta accadendo.</w:t>
        <w:br/>
        <w:t>Ma prima devo allargare la vostra visione abituale, il vostro campo visivo, in modo che non associate di riflesso la detenzione collettiva a scenari come quello di novembre 1939. Sippenhaft non è solo quando la Gestapo arresta l'intera famiglia del reo confesso Elser dopo un attentato fallito, come quello ad Adolf Hitler. O nella primavera del 1945, quando dodici membri della famiglia Stauffenberg e un gruppo di circa 100 prigionieri furono radunati nel campo di concentramento di Buchenwald. Oggi ci allontaniamo anche da qualsiasi associazione con il luglio 2002, quando la Corte Suprema israeliana diede il via libera al rapimento di familiari di sospetti terroristi per deportarli dalla Cisgiordania alla Striscia di Gaza come scudi umani.</w:t>
        <w:br/>
        <w:t>No, le versioni postmoderne della detenzione collettiva di cui parliamo ora si spostano dalla nostra responsabilità finanziaria per i nostri interi sistemi contorti e criminali di salute ed economia ai nostri abusati sistemi di informazione. Comprendono la nostra responsabilità finanziaria per ogni follia scientifica, per ogni terrorismo segreto della natura e dell'ambiente. E naturalmente comprendono anche ogni inutile burocrazia, ogni follia culturale, ideologica ed educativa in generale. Sì, siamo anche responsabili con bilioni di contributi obbligatori di innumerevoli attività di società segrete e servizi segreti politicamente mascherati. Allo stesso tempo, alimentiamo fedelmente l'intero sistema giudiziario che hanno infiltrato, nonostante sia da tempo palesemente fallito.</w:t>
        <w:br/>
        <w:br/>
        <w:t>Ecco come si presenta in dettaglio e in cifre approssimative la nostra attuale detenzione collettiva, per citare solo dodici aree di responsabilità finanziaria:</w:t>
        <w:br/>
        <w:br/>
        <w:t>1. Sebbene i media tradizionali - i media guerrafondai, mi piace chiamarli così - mentano e ci ingannino giorno dopo giorno che peggio non si può, in più ci impongono ogni mese anche le tasse di detenzione collettiva RAI SERAFE e GEZ. Non è vero?</w:t>
        <w:br/>
        <w:t>In Svizzera, questo ammonta a 1,37 miliardi di franchi svizzeri di tasse annuali di tributi di detenzione collettiva alla SERAFE. In Italia circa 2 miliardi e in Germania, 8,5 miliardi di euro all'anno di tasse obbligatorie per la GEZ.</w:t>
        <w:br/>
        <w:br/>
        <w:t>2. Dopo aver già fatto luce in altri programmi sui modi più criminali in cui è nato il nostro debito nazionale, ora aggiungiamo anche questo all'attuale somma di detenzione collettiva che ci opprime.</w:t>
        <w:br/>
        <w:br/>
        <w:t>In Svizzera era di 141,687 miliardi di franchi nel 2023.</w:t>
        <w:br/>
        <w:t>In Germania nel 2024 era di 2.635,1 miliardi di euro. Cioè 2,63 bilioni di euro.</w:t>
        <w:br/>
        <w:t>Solo per questi due Paesi, il risultato è la modesta somma di detenzione collettiva di circa 2,78 bilioni. Pensate a cosa significa questa cifra: è 2.780 × 1 miliardo di euro. E come probabilmente ricorderete dalla scuola, 1 miliardo di euro è composto da 1.000 milioni di euro. Nessuno di noi è in grado di comprendere mentalmente o di liquidare questa somma clamorosa. Per questo motivo, cari amici, c'è solo una via d'uscita comune: dichiarare la cancellazione totale del debito a livello mondiale. Possiamo facilmente dichiarare tale cancellazione con un referendum democratico a livello mondiale. Questo è in potere del popolo, che è il sovrano garantito. Tra l'altro, nella Bibbia, Dio ha fermamente decretato la cancellazione del debito senza compromessi ogni 50 anni, il cosiddetto anno di remissione. Leggiamolo insieme:</w:t>
        <w:br/>
        <w:t>[Deuteronomio 25:10:]</w:t>
        <w:br/>
        <w:t>“Santificherete ogni cinquantesimo anno e proclamerete la liberazione sulla terra per tutti i suoi abitanti. Sarà per voi un'esultanza, e ritornerete ciascuno alla sua proprietà e ciascuno alla sua famiglia”.</w:t>
        <w:br/>
        <w:br/>
        <w:t>Se questo non è un motivo per esultare!</w:t>
        <w:br/>
        <w:br/>
        <w:t>3. In terzo luogo, diamo un'occhiata a quante tasse ci vengono “imposte” pro capite all'anno:</w:t>
        <w:br/>
        <w:t>Nel 2023, in Svizzera erano 74,784 miliardi di franchi.</w:t>
        <w:br/>
        <w:t>In Germania, 915,8 miliardi di euro - solo di tasse.</w:t>
        <w:br/>
        <w:t>Rispetto all'anno precedente, in Germania si è registrato un aumento di 20.000 volte 1 milione di euro.</w:t>
        <w:br/>
        <w:br/>
        <w:t>4. Quanti pagamenti di detenzione collettiva abbiamo fatto all'UE?</w:t>
        <w:br/>
        <w:t>In Svizzera abbiamo pagato 1,7 miliardi di franchi nel 2024 solo per gli accordi bilaterali.</w:t>
        <w:br/>
        <w:t>In Germania, nello stesso anno, il cosiddetto contributo di solidarietà all'UE è stato pari a 29,874 miliardi di euro.</w:t>
        <w:br/>
        <w:br/>
        <w:t>5. Poi siamo tutti detenuti collettivamente nella tassa sugli alcolici e sui tabacchi.</w:t>
        <w:br/>
        <w:t>A questo punto, qualcuno naturalmente obietterà: “Aspettate un attimo - io non fumo e non bevo - questa tassa è stata scaricata equamente sui consumatori”. Tuttavia, trascuriamo il fatto che parti considerevoli della nostra economia stanno subendo perdite considerevoli come risultato. Ad esempio, siccome molti fumatori e bevitori semplicemente non hanno abbastanza soldi per il cibo sano, figuriamoci per le attività sportive o turistiche. Molte persone vanno in giro sempre con gli stessi vestiti e anche l'economia ne risente. Potremmo continuare all'infinito, sapete? E ogni persona sana che vuole godersi un buon bicchiere di vino per una volta paga 9-12 franchi al decilitro in un ristorante di Zurigo, ad esempio, per un vino da mediocre a scadente, sia esso rosso o bianco. Ecco una breve panoramica delle attuali imposte sul tabacco:</w:t>
        <w:br/>
        <w:br/>
        <w:t>In Svizzera, nel 2023, ammontavano a 2,025 miliardi di franchi.</w:t>
        <w:br/>
        <w:t>In Germania nel 2020 14,6 miliardi di euro.</w:t>
        <w:br/>
        <w:t>Cito questo punto perché ci sono state presentate le prove di come i nostri governanti abbiano segretamente giocato in borsa persino con i nostri depositi pensionistici versati e abbiano effettivamente perso decine di miliardi. Non lo sapevate? Guardatevi il programma su questo link. Cosa faranno con le nostre tasse sull'alcol e sul tabacco? Ciò di cui abbiamo bisogno, cara gente, è un monitoraggio completo di tutti i flussi di denaro! E questo monitoraggio deve essere effettuato da persone neutrali dalla A alla Z. In tutti i settori. Tutto deve essere controllato da persone veramente imparziali. Altrimenti moriremo dissanguati da tutti gli insidiosi abusi di potere.</w:t>
        <w:br/>
        <w:br/>
        <w:t>6. Passiamo ai contributi di detenzione collettiva nel settore dell'ambiente: a quanto ammontano i tributi coatti?</w:t>
        <w:br/>
        <w:t>Sapete, in realtà è tutto molto più alto, perché queste sono solo le cifre ufficiali. In Svizzera si tratta di 16,2 miliardi di franchi nel 2023.</w:t>
        <w:br/>
        <w:t>In Germania, nel 2022, 966,698 miliardi di euro di tributi ambientali.</w:t>
        <w:br/>
        <w:br/>
        <w:t>7. Passiamo ora a uno dei più grandi costrutti di detenzione collettiva, di cui parlerò più dettagliatamente in seguito: il sistema sanitario - i nostri contributi obbligatori all'assicurazione sanitaria.</w:t>
        <w:br/>
        <w:t>In Svizzera, nel 2022 abbiamo pagato 91,482 miliardi di franchi per l'assistenza sanitaria, ovvero 10.428 franchi a testa! Qualche decennio fa, questa cifra era di poche centinaia di CHF. In altre parole, era l'11,7% del prodotto interno lordo. Nel 1960 era ancora il 4,5%.</w:t>
        <w:br/>
        <w:t>Nello stesso periodo, la Germania ha versato 497,7 miliardi di euro, pari a 5.939 euro per abitante. Rispetto all'anno precedente, si tratta di un ulteriore aumento dei pagamenti obbligatori del 4,8%! Vedete, paghiamo sempre di più e ci ammaliamo sempre di più. Questo è il punto. Non voglio più vivere in questa detenzione collettiva.</w:t>
        <w:br/>
        <w:br/>
        <w:t>Che dire della detenzione collettiva in relazione alla ricerca scientifica, spesso così follemente assurda in termini di cifre? Per esempio, i nostri pagamenti obbligatori per i viaggi spaziali, il CERN in Svizzera e altre istituzioni?</w:t>
        <w:br/>
        <w:br/>
        <w:t>8. I contributi al CERN nel 2024:</w:t>
        <w:br/>
        <w:t>- in Svizzera 45,8 milioni di franchi</w:t>
        <w:br/>
        <w:t>- in Germania 258,2 milioni di euro</w:t>
        <w:br/>
        <w:br/>
        <w:t>9. Per i recenti contributi all'ESA, l'Agenzia spaziale europea, la Svizzera ha nuovamente sborsato altri 600 milioni di franchi, la Germania altri 951,6 milioni di euro.</w:t>
        <w:br/>
        <w:br/>
        <w:t>10. Per la ricerca generale in Svizzera, ogni anno viene prelevato circa il 3% del PIL (cioè il prodotto interno lordo), pari a oltre 20 miliardi di franchi, e questo solo per la ricerca e lo sviluppo di base. Tuttavia, possiamo vederne i risultati concreti nelle tecnologie di sorveglianza sempre più sofisticate, tra le altre cose. Capite?</w:t>
        <w:br/>
        <w:t>Hanno preso 121,4 miliardi di euro da voi tedeschi per la stessa cosa solo nel 2022.</w:t>
        <w:br/>
        <w:br/>
        <w:t>11. La cultura, sempre più allarmante, ci sta anche mungendo non poco.</w:t>
        <w:br/>
        <w:t>In Svizzera nel 2021 ci è costata 343 franchi per abitante. Il contributo obbligatorio della Germania ammontava a circa 14,5 miliardi di euro.</w:t>
        <w:br/>
        <w:br/>
        <w:t>12. Ma anche i nostri meccanismi di coercizione militare devono essere considerati parte della detenzione collettiva. Nonostante il numero crescente di milioni di persone amanti della pace che manifestano apertamente a favore della pace, anche nel 2023 sono stati sottratti a noi svizzeri neutrali 5,7 miliardi di franchi. E ai tedeschi, che non sono desiderosi di entrare in guerra, altri 72 miliardi di euro nel 2024.</w:t>
        <w:br/>
        <w:br/>
        <w:t>Solo per questi 12 ambiti di detenzione collettiva, l'onere totale annuo per ogni singola persona in Svizzera è di circa 24.000 franchi, inclusi i bambini. In Germania, ciascuno deve pagare addirittura 32.000 euro all'anno. E oltre a questi tributi coatti annuali, come già detto, siamo anche gravati dal debito nazionale creato in modo criminale. In Svizzera, ciò significa che altri 16.000 franchi svizzeri gravano su ogni testa, fino a ogni neonato. In Germania, si tratta di ulteriori 32.000 euro pro capite.</w:t>
        <w:br/>
        <w:br/>
        <w:t>Se tiriamo le somme, solo fino al 2024, ogni svizzero e ogni tedesco sono attualmente gravati da una media di 60.000 franchi svizzeri o euro - che è più o meno la stessa cosa - di debito di detenzione collettiva. In questo calcolo, abbiamo certamente saltato diversi ambiti di detenzione collettiva e non li abbiamo quindi presi in considerazione.</w:t>
        <w:br/>
        <w:br/>
        <w:t>Tuttavia, sorge una domanda logica: Che cosa può fare l'umanità ingannata di fronte a tutti questi sviluppi squallidi? Dopo tutto, subisce la stessa sorte della compagna di Odisseo, che dovette assistere inerme al divoramento dei beni del marito da parte di un'avida banda di pretendenti senza scrupoli durante la sua lunga scomparsa - per parafrasare la mitologia greca di Omero. Con questo discorso, tuttavia, mi riferisco a opzioni e vie d'uscita dalla detenzione collettiva più moderate rispetto a quelle prese da Odisseo. Infatti, dopo il suo ritorno, è noto che egli uccise sommariamente tutti i pretendenti che avevano corteggiato strumentalmente la sua Penelope, riprendendo così il controllo di Itaca.</w:t>
        <w:br/>
        <w:br/>
        <w:t>Utilizzando l'esempio della nostra detenzione collettiva nel sistema sanitario, permettetemi di suggerire un modello di finanziamento molto più equo e, nel vero senso della parola, più salutare. Giochiamo solo con le idee, senza alcun impegno iniziale. Dopo tutto, la più assurda ingiustizia della detenzione collettiva sta gridando al cielo dai nostri sistemi sanitari! Non solo le anime più pie e caste sono costrette a cofinanziare gli aborti, ma ora sono anche costrette a co-finanziare ogni tipo di operazione su persone sessualmente insoddisfatte. Sì, quando non hanno più voglia di avere un uccello e si fanno montare una passera artificiale, cocomeri inclusi, chiedono poi a noi di pagare - e naturalmente il tutto può essere fatto in qualsiasi altra direzione di rioperazione gender.</w:t>
        <w:br/>
        <w:br/>
        <w:t>Tuttavia, il nostro sistema sanitario è stato altrettanto ingiusto sotto ogni aspetto per decenni: Le persone più astinenti e attente devono pagare senza pietà prezzi sempre più alti per i danni conseguenti causati da mangiatori e bevitori irrefrenabili. Irriducibili va anche sottolineato. Innumerevoli persone che vivono in modo modesto e quasi verginale devono pagare per i danni conseguenti causati dai pervertiti sessuali con tutte le loro epidemie, funghi e malattie sessuali. Le persone pulite e igieniche devono pagare per i danni conseguenti di quei contemporanei che vivono incorreggibilmente come maiali. Di solito si ammalano costantemente solo perché sono semplicemente troppo pigri per pulire lo sporco dai loro corpi e dalle loro case. Le menti più tenere, invece, sono costrette a pagare per gli eccessi smodati dei tossicodipendenti, degli alcolizzati, dei dipendenti da pasticche e di altri asociali. Tutte persone irriducibili che non vogliono imparare nulla. Oltre a questo tormento mensile, infuria anche questa disputa eternamente saccente tra partiti di destra e di sinistra, tra liberali e conservatori, tra gruppi religiosi e non religiosi, ecc.</w:t>
        <w:br/>
        <w:br/>
        <w:t>Ed è proprio in questo continuo battibecco tra sapientoni che percepisco il potenziale per un sistema sanitario completamente nuovo e quindi assolutamente equo, miei cari: Secondo il detto “gli uccelli di una stessa piuma si uniscono” o la comprovata legge secondo cui il simile attrae il simile, non sarebbe nient'altro che equo se impostassimo il modo in cui il nostro sistema sanitario viene finanziato proprio in base a questi criteri. Credo che una prova non farebbe male. Chiedo un referendum democratico per decidere a favore di un progetto pilota. Tutti i partecipanti volontari dovrebbero semplicemente essere esonerati da tutti gli obblighi precedenti nei confronti di qualsiasi assicurazione sanitaria o di qualsiasi regolamento sanitario esistente per la durata di questo progetto pilota deciso ufficialmente.</w:t>
        <w:br/>
        <w:br/>
        <w:t>In parole povere, ciò significherebbe, ad esempio, che le persone di sinistra gestirebbero il proprio programma di assicurazione sanitaria, così come le persone di destra. Ciò significherebbe che a nessuna persona di sinistra sarebbe permesso di entrare in una catena di approvvigionamento di destra e a nessuna persona di destra sarebbe permesso di essere attaccata alla flebo della sinistra. Allo stesso modo, i liberali dovrebbero avere il loro sistema di assistenza e finanziamento, così come coloro che sono religiosi, eccetera. Ognuno dovrebbe essere libero di associarsi a qualsiasi gruppo di sua scelta, ma rigorosamente del suo stesso pensiero.</w:t>
        <w:br/>
        <w:br/>
        <w:t>In questo modo, diventerebbe abbastanza chiaro e ovvio quale dei saputelli che si umiliano a vicenda stia in realtà conducendo lo stile di vita più sano. A questo punto, dobbiamo semplicemente ricordare ancora una volta che la stragrande maggioranza delle malattie è semplicemente legata alla condotta e agli stili di vita innaturali, si capisce. I danni generali alla popolazione causati dalle radiazioni di telefonia mobile, dalla contaminazione dell'acqua potabile, dallo smog, ecc. continuerebbero a essere distribuiti uniformemente tra tutti i gruppi nel nuovo sistema di finanziamento. Dopo tutto, tutti sono colpiti allo stesso modo, sia consapevolmente che inconsapevolmente. Le cure mediche sempre più costose degli ultimi secoli si sono purtroppo concentrate sempre più sul trattamento dei sintomi piuttosto che sulle cause delle malattie. Questa criminale ignoranza sulle correlazioni fondamentali e sulle leggi della natura ha ovviamente fruttato ai medici e a Big Pharma astronomici profitti da crisi. Dopo diversi decenni di lavoro sociale tra tossicodipendenti, alcolisti e altri sofferenti di disturbi mentali, posso dirvi con certezza che sono proprio le parti con la bocca più grande a fare i danni maggiori ai nostri sistemi sociali e sanitari. In pratica, però, riescono sempre ad assumere il ruolo più dominante in politica e a dettarci tutto. Sono loro che ci impongono leggi ancora più insensate. Tali elementi però sarebbero gli ultimi ad essere disposti a cambiare il proprio stile di vita, a subordinarsi alle leggi della natura o addirittura agli obblighi morali. E vedete, non sto facendo nomi o circoli specifici. Per ora si tratta solo di un principio. Si tratta di pensare a un nuovo sistema di finanziamento in cui tutti devono attenersi ai propri pari in modo molto pratico.</w:t>
        <w:br/>
        <w:br/>
        <w:t>Per una prova, dovremmo permettere ai nostri attuali sistemi di assicurazione sanitaria di esistere, almeno temporaneamente, solo per coloro che lo desiderano veramente. A tutti gli altri, invece, deve essere data la libertà di uscirne temporaneamente. Sostengo che entro uno fino a tre anni vedremmo molto chiaramente quali gruppi dovrebbero cambiare radicalmente il loro stile di vita per non soffocare finanziariamente a causa dei danni che ne derivano.</w:t>
        <w:br/>
        <w:br/>
        <w:t>Penso un po' oltre: la nuova premessa, tuttavia, sarebbe che ognuno dovrebbe unirsi con almeno 1000-2000 persone che la pensano come lui per formare un sistema sanitario. Idealmente, questi gruppi potrebbero poi determinare le proprie unità amministrative o i propri organismi senza dover acquistare edifici speciali con tutto lo sfarzo. Da casa, i casi di malattia potrebbero essere registrati e poi trattati in gruppi gestibili tramite conferenze telefoniche o altro. Tutto ciò che servirebbe sarebbero collaboratori onesti e aperti, come accadeva nei tribunali popolari del passato, cioè i tribunali con giuria. Come una famiglia, si riunirebbero brevemente, esaminerebbero i casi di malattia e poi deciderebbero quale percorso di cura intraprendere. Già solo questo eliminerebbe miliardi di costi burocratici e infrastrutturali su base continuativa. Mentre nella fase iniziale si potrebbero applicare gli stessi prezzi dell'assicurazione sanitaria, i salari amministrativi dovrebbero essere mantenuti inizialmente il più bassi possibile. Solo quando si sarà accumulata un'eccedenza di prestazioni di malattia generalmente rassicurante, i salari amministrativi dovrebbero essere aumentati. Alcune cose potrebbero essere diverse, ma si capisce, occorre pensarla fino in fondo. E poi gli stipendi amministrativi aumenterebbero solo in percentuali analoghe alle eccedenze ottenute, come un sistema di bonus. Sarebbe anche estremamente benefico se - come nell'antica Cina - i medici del nuovo sistema sanitario venissero pagati solo dopo aver ottenuto un reale successo visibile con la loro arte, altrimenti chiunque potrebbe diventare medico. La gestione volontaria sarebbe ovviamente la ciliegina sulla torta. Sto solo pensando ad alta voce. Un'organizzazione di questo tipo avrebbe il grande vantaggio di gestire tutto molto più rapidamente fin dall'inizio. E ogni spreco insensato di denaro e ogni profitto da crisi lobbistica finirebbe da un giorno all'altro, che ci crediate o no. Quanto maggiori sono le eccedenze, tanto più economica potrebbe diventare l'assicurazione sanitaria per tutti. Questo creerebbe la motivazione per tutti a scegliere e trovare la via migliore per guarire. Il team amministrativo volontario potrebbe cambiare di volta in volta, in modo che il maggior numero possibile di partecipanti possa sviluppare un senso più profondo del nostro sistema sanitario.</w:t>
        <w:br/>
        <w:br/>
        <w:t>E so, naturalmente, che questa nuova forma di amministrazione sarebbe anche una nuova forma di detenzione collettiva - ma penso che sarebbe molto più equa che finora. Perché ora tutti gli omosessuali, le lesbiche, tutte le persone QUEER e comunque appassionate di LGBTTIQ potrebbero formare e gestire il proprio sistema sanitario tra di loro. Insieme ai trans e a tutti coloro che mostrano un così grande piacere per la libertà senza limiti, sarebbero in grado di formare circoli di esperienza estremamente curativi e spietatamente vincolanti.</w:t>
        <w:br/>
        <w:br/>
        <w:t>I nostri attuali sistemi di assicurazione sanitaria, che hanno sempre messo insieme ogni sorta di persone nello stesso calderone, dovrebbero liberare completamente tutti i gruppi di test, almeno temporaneamente. Dovrebbe essere sancito per legge che, durante questo periodo, qualsiasi intervento da parte di persone che non la pensano allo stesso modo sia inammissibile. Anche la dimensione minima di 1.000-2.000 persone che la pensano allo stesso modo - è solo un suggerimento iniziale - dovrebbe essere sancita per legge come obbligatoria, in modo che nessuno sia improvvisamente abbandonato a se stesso.</w:t>
        <w:br/>
        <w:br/>
        <w:t>E posso assicurarvi, da decenni di lavoro sociale, che questo sarebbe il modo più completo e veloce per condurre la nostra società verso una salute migliore.</w:t>
        <w:br/>
        <w:br/>
        <w:t>Qualsiasi costrizione esistente a sottomettersi a medici legittimati e a Big Pharma verrebbe completamente rimossa durante la fase di sperimentazione. Durante questo periodo, tutti dovrebbero avere il diritto garantito al trattamento sanitario del gruppo di pensiero che ha scelto. Anche questa liberazione non dovrebbe essere un problema tra persone che la pensano allo stesso modo. Chi vuole continuare ad affidarsi a Big Pharma può ovviamente continuare come finora. Tuttavia, coloro che insistono completamente sui metodi di cura e sui rimedi naturali possono seguire questo percorso con i loro pari. Ma ogni gruppo che si è autoscelto sarà poi, ovviamente, responsabile fino all'ultimo delle proprie spese di salute o di malattia.</w:t>
        <w:br/>
        <w:br/>
        <w:t>Penso che una tale riorganizzazione del sistema sanitario, inizialmente della durata di uno o tre anni, sarebbe sufficiente per istruire oggettivamente l'intera famiglia umana. Poi sarebbe il momento di una prima valutazione ufficiale e di un confronto oggettivo tra tutti i gruppi, in modo da individuare il gruppo più sano. Cioè il gruppo con i costi sanitari più bassi. A questo gruppo dovrebbe essere data anche la sovranità politica sullo sviluppo dell'intero sistema sanitario, ad esempio più voti, ecc. In questo modo, coloro che hanno di più da offrire nella pratica avranno finalmente anche la parola.</w:t>
        <w:br/>
        <w:br/>
        <w:t>Purtroppo, come già accennato, al momento è ancora tutto il contrario. Per inciso, qualsiasi operatore sanitario o sociale al mondo potrebbe confermarlo, purché abbia fatto il suo lavoro con gli occhi aperti e i sensi aperti.</w:t>
        <w:br/>
        <w:br/>
        <w:t>Ora devo iniziare l'atterraggio: Per salvare il nostro mondo dall'imminente, espropriazione totale pianificata, abbiamo bisogno di professionisti competenti in tutti i settori della vita citati in questo discorso. Sapete, ho già invitato voi esperti a resistere attivamente nel mio primo discorso alle nazioni qui impresso. Ma centinaia di migliaia dei più importanti esperti tacciono ancora sull'intera truffa mondiale, anche se vedono esattamente cosa sta accadendo qui. Ad esempio, per quanto riguarda la truffa del Covid, innumerevoli medici, ma anche scienziati, esperti finanziari, epidemiologi, chimici, fisici, ecc. stanno tacendo. Ma tacciono anche innumerevoli forze di sicurezza in tutti i settori citati, agenti di polizia, criminologi, pubblici ministeri, giudici e altri esperti legali. Tutti tengono l'acqua in bocca. Rimangono in silenzio in secondo piano. Nonostante vedano costantemente questo genocidio e il crescente saccheggio del popolo davanti ai loro occhi. E io dico a voi rappresentanti della magistratura: con questo comportamento state coprendo gli assassini di massa contro ogni buon senso. State coprendo gli assassini del popolo, i distruttori del mondo! Io vi dico: Non pensate di sfuggire a un giusto giudizio se continuate così! Nessuno meglio di voi sa cosa significhi cadere nei mulini di una giustizia schiacciante! Ma finora vi siete limitati a guardare passivamente e avete persino fatto in modo che venissero cacciati e puniti coloro che hanno denunciato l'incendio anziché i piromani che sono stati scoperti. Voi date costantemente la caccia soprattutto a coloro che hanno giustamente denunciato questi piromani assassini a rischio della loro vita! Come nel caso dell'avvocato Reiner Füllmich. Questo arresto, questo trattamento, puzza di ingiustizia! Vi imploro, esperti competenti di ogni genere, di alzarvi finalmente in piedi e di dire apertamente da che parte state. Insieme a noi. Aprite i vostri canali o parlate attraverso Kla.TV o altri media liberi di informazione. Ma parlate! Chiunque abbia riconosciuto e visto l'intera ingiustizia e l'intero genocidio vaccinale e continui a fare “obbedienza alla Stasi” contro i peggiori criminali è irrimediabilmente partecipe e complice di questa banda di assassini. Non pensate di avere ancora una posizione nel nuovo mondo - quando irromperà - se non aprite la bocca ora, nell'ora più minacciata della storia umana, ma continuate a tacere. Perciò, state nella breccia insieme a tutte le persone sincere e coraggiose e lottate con noi fino a quando non avremo stabilito il nuovo mondo in tutte le 12 aree della vita qui menzionate. Non appena questa vittoria sarà raggiunta, ci sarà certamente una giusta resa dei conti con tutti i codardi dell'epoca attuale che, per puro egoismo e autoconservazione, hanno taciuto riguardo al gioco malvagio o che sono semplicemente rimasti passivi, per qualsiasi motivo. E peggio ancora: vigliacchi che sono diventati attivi tirapiedi del terrore, famigerati approvatutto che, ai loro occhi, facevano il loro lavoro solo perché dovevano farlo - lo si sente dire ovunque - se non volevano rischiare alcun tipo di svantaggio. Io vi dico che è meglio non rischiare gli svantaggi che vi aspettano nel nuovo mondo. Per esempio, decine di migliaia di medici e infermieri hanno semplicemente continuato a somministrare alla gente queste iniezioni Covid, anche se scoperte mortali da tempo, pur sapendo esattamente cosa causavano e causano tuttora. Ed è per questo che stanno addirittura risparmiando deliberatamente se stessi e i propri figli. Guardatevi i nostri programmi con prove schiaccianti. Per l'amor di Dio, chiedo a ciascuno dei miei ascoltatori e in particolare, ancora una volta, a tutti i professionisti e a tutta la cristianità, a tutte le religioni: di schierarsi ora coraggiosamente e in modo vincolante tra le file combattenti della libera informazione. Perché se aveste alzato coraggiosamente la voce con noi fin dall'inizio, avremmo vinto già da tempo.</w:t>
        <w:br/>
        <w:br/>
        <w:t>Io sono Ivo Sasek, che sta davanti a Dio dal 1977.</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is.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Tariffe GEZ e SERAFE</w:t>
        <w:br/>
      </w:r>
      <w:r>
        <w:fldChar w:fldCharType="begin"/>
      </w:r>
      <w:r>
        <w:rPr>
          <w:rStyle w:val="Hyperlink"/>
          <w:sz w:val="18"/>
        </w:rPr>
        <w:instrText xml:space="preserve"> HYPERLINK "https://www.bakom.admin.ch/bakom/de/home/elektronische-medien/abgabe-fur-radio-und-fernsehen/verwendung-der-abgabe.html" \l "-1649993957"</w:instrText>
      </w:r>
      <w:r>
        <w:rPr>
          <w:rStyle w:val="Hyperlink"/>
          <w:sz w:val="18"/>
        </w:rPr>
        <w:fldChar w:fldCharType="separate"/>
      </w:r>
      <w:r>
        <w:rPr>
          <w:rStyle w:val="Hyperlink"/>
          <w:sz w:val="18"/>
        </w:rPr>
        <w:t>https://www.bakom.admin.ch/bakom/de/home/elektronische-medien/abgabe-fur-radio-und-fernsehen/verwendung-der-abgabe.html#-1649993957</w:t>
      </w:r>
      <w:r>
        <w:rPr>
          <w:rStyle w:val="Hyperlink"/>
          <w:sz w:val="18"/>
        </w:rPr>
        <w:fldChar w:fldCharType="end"/>
      </w:r>
      <w:r>
        <w:rPr/>
        <w:br/>
      </w:r>
      <w:hyperlink r:id="rId5">
        <w:r>
          <w:rPr>
            <w:rStyle w:val="Hyperlink"/>
            <w:sz w:val="18"/>
          </w:rPr>
          <w:t>https://www.heise.de/news/Neuer-Rekord-Einnahmen-aus-Rundfunkbeitraegen-auf-8-57-Milliarden-Euro-gestiegen-9186536.html</w:t>
        </w:r>
      </w:hyperlink>
      <w:r>
        <w:rPr/>
        <w:br/>
        <w:br/>
        <w:t>Debito pubblico in Svizzera e Germania</w:t>
        <w:br/>
      </w:r>
      <w:hyperlink r:id="rId6">
        <w:r>
          <w:rPr>
            <w:rStyle w:val="Hyperlink"/>
            <w:sz w:val="18"/>
          </w:rPr>
          <w:t>https://www.efv.admin.ch/efv/de/home/themen/publikationen/taschenstatistik.html</w:t>
        </w:r>
      </w:hyperlink>
      <w:r>
        <w:rPr/>
        <w:br/>
      </w:r>
      <w:hyperlink r:id="rId7">
        <w:r>
          <w:rPr>
            <w:rStyle w:val="Hyperlink"/>
            <w:sz w:val="18"/>
          </w:rPr>
          <w:t>https://de.statista.com/statistik/daten/studie/198377/umfrage/staatsverschuldung-in-der-europaeischen-union/</w:t>
        </w:r>
      </w:hyperlink>
      <w:r>
        <w:rPr/>
        <w:br/>
        <w:br/>
        <w:t xml:space="preserve">Imposte in Svizzera e Germania </w:t>
        <w:br/>
      </w:r>
      <w:hyperlink r:id="rId8">
        <w:r>
          <w:rPr>
            <w:rStyle w:val="Hyperlink"/>
            <w:sz w:val="18"/>
          </w:rPr>
          <w:t>https://www.efv.admin.ch/efv/de/home/themen/publikationen/taschenstatistik.html</w:t>
        </w:r>
      </w:hyperlink>
      <w:r>
        <w:rPr/>
        <w:br/>
      </w:r>
      <w:hyperlink r:id="rId9">
        <w:r>
          <w:rPr>
            <w:rStyle w:val="Hyperlink"/>
            <w:sz w:val="18"/>
          </w:rPr>
          <w:t>https://www.destatis.de/DE/Themen/Staat/Steuern/Steuereinnahmen/steuereinnahmen.html</w:t>
        </w:r>
      </w:hyperlink>
      <w:r>
        <w:rPr/>
        <w:br/>
        <w:br/>
        <w:t>Imposte UE dalla Svizzera e dalla Germania</w:t>
        <w:br/>
      </w:r>
      <w:r>
        <w:fldChar w:fldCharType="begin"/>
      </w:r>
      <w:r>
        <w:rPr>
          <w:rStyle w:val="Hyperlink"/>
          <w:sz w:val="18"/>
        </w:rPr>
        <w:instrText xml:space="preserve"> HYPERLINK "https://de.wikipedia.org/wiki/Bilaterale_Verträge_zwischen_der_Schweiz_und_der_Europäischen_Union" \l "Mit_den_Abkommen_verbundene_Zahlungen_der_Schweiz_an_die_EU"</w:instrText>
      </w:r>
      <w:r>
        <w:rPr>
          <w:rStyle w:val="Hyperlink"/>
          <w:sz w:val="18"/>
        </w:rPr>
        <w:fldChar w:fldCharType="separate"/>
      </w:r>
      <w:r>
        <w:rPr>
          <w:rStyle w:val="Hyperlink"/>
          <w:sz w:val="18"/>
        </w:rPr>
        <w:t>https://de.wikipedia.org/wiki/Bilaterale_Vertr%C3%A4ge_zwischen_der_Schweiz_und_der_Europ%C3%A4ischen_Union#Mit_den_Abkommen_verbundene_Zahlungen_der_Schweiz_an_die_EU</w:t>
      </w:r>
      <w:r>
        <w:rPr>
          <w:rStyle w:val="Hyperlink"/>
          <w:sz w:val="18"/>
        </w:rPr>
        <w:fldChar w:fldCharType="end"/>
      </w:r>
      <w:r>
        <w:rPr/>
        <w:br/>
      </w:r>
      <w:hyperlink r:id="rId10">
        <w:r>
          <w:rPr>
            <w:rStyle w:val="Hyperlink"/>
            <w:sz w:val="18"/>
          </w:rPr>
          <w:t>https://de.statista.com/statistik/daten/studie/155196/umfrage/die-zehn-wichtigsten-beitragszahler-im-eu-haushalt-2010/</w:t>
        </w:r>
      </w:hyperlink>
      <w:r>
        <w:rPr/>
        <w:br/>
        <w:br/>
        <w:t xml:space="preserve">Imposta sul tabacco Svizzera e Germania </w:t>
        <w:br/>
      </w:r>
      <w:hyperlink r:id="rId11">
        <w:r>
          <w:rPr>
            <w:rStyle w:val="Hyperlink"/>
            <w:sz w:val="18"/>
          </w:rPr>
          <w:t>https://www.efv.admin.ch/efv/de/home/themen/publikationen/taschenstatistik.html</w:t>
        </w:r>
      </w:hyperlink>
      <w:r>
        <w:rPr/>
        <w:br/>
      </w:r>
      <w:hyperlink r:id="rId12">
        <w:r>
          <w:rPr>
            <w:rStyle w:val="Hyperlink"/>
            <w:sz w:val="18"/>
          </w:rPr>
          <w:t>https://de.wikipedia.org/wiki/Tabaksteuer_(Germania</w:t>
        </w:r>
      </w:hyperlink>
      <w:r>
        <w:rPr/>
        <w:t>)</w:t>
        <w:br/>
        <w:br/>
        <w:t>Imposte ambientali in Svizzera e Germania</w:t>
        <w:br/>
      </w:r>
      <w:hyperlink r:id="rId13">
        <w:r>
          <w:rPr>
            <w:rStyle w:val="Hyperlink"/>
            <w:sz w:val="18"/>
          </w:rPr>
          <w:t>https://www.bfs.admin.ch/bfs/de/home/statistiken/raum-umwelt/umweltgesamtrechnung/umweltbezogene-abgaben.html</w:t>
        </w:r>
      </w:hyperlink>
      <w:r>
        <w:rPr/>
        <w:br/>
      </w:r>
      <w:hyperlink r:id="rId14">
        <w:r>
          <w:rPr>
            <w:rStyle w:val="Hyperlink"/>
            <w:sz w:val="18"/>
          </w:rPr>
          <w:t>https://www.destatis.de/DE/Themen/Gesellschaft-Umwelt/Umwelt/UGR/steuern-weitere-abgaben/Tabellen/gesamtaufkommen-steuern.html</w:t>
        </w:r>
      </w:hyperlink>
      <w:r>
        <w:rPr/>
        <w:br/>
        <w:br/>
        <w:t>Ai nemici del Regime: XXII Königswinterer Tagung( febbraio 2009) (= Serie di scritti della comunità di ricerca del 20. luglio 1944 e. V., 13). LIT Verlag, Münster 2010, ISBN 978-3-643-10525-7.</w:t>
        <w:br/>
        <w:br/>
        <w:t>Il tribunale di Israele autorizza la Sippenhaft( detenzione familiare). Frankfurter Allgemeine Zeitung, 3 settembre 2002.</w:t>
        <w:br/>
      </w:r>
      <w:hyperlink r:id="rId15">
        <w:r>
          <w:rPr>
            <w:rStyle w:val="Hyperlink"/>
            <w:sz w:val="18"/>
          </w:rPr>
          <w:t>https://www.faz.net/aktuell/politik/naher-osten-israels-gerichtshof-erlaubt-sippenhaft-173783.html</w:t>
        </w:r>
      </w:hyperlink>
      <w:r>
        <w:rPr/>
        <w:br/>
        <w:br/>
        <w:t>Tortura nel 1977: Sippenhaft in Israele( rivista Stern, numero 24, 2 giugno 1977).</w:t>
        <w:br/>
        <w:br/>
        <w:t>L'oppressione si arricchisce con la detenzione collettiva. Süddeutsche Zeitung, 20 novembre 2014</w:t>
        <w:br/>
      </w:r>
      <w:hyperlink r:id="rId16">
        <w:r>
          <w:rPr>
            <w:rStyle w:val="Hyperlink"/>
            <w:sz w:val="18"/>
          </w:rPr>
          <w:t>https://www.sueddeutsche.de/politik/nahostkonflikt-beide-seiten-fachen-die-flammen-an-1.2227435</w:t>
        </w:r>
      </w:hyperlink>
      <w:r>
        <w:rPr/>
        <w:br/>
        <w:t>Detenzione collettiva. taz, 21 marzo 1996.</w:t>
        <w:br/>
      </w:r>
      <w:hyperlink r:id="rId17">
        <w:r>
          <w:rPr>
            <w:rStyle w:val="Hyperlink"/>
            <w:sz w:val="18"/>
          </w:rPr>
          <w:t>https://taz.de/Sippenhaft/!1465543/</w:t>
        </w:r>
      </w:hyperlink>
      <w:r>
        <w:rPr/>
        <w:br/>
        <w:br/>
        <w:t>Israele distrugge le case degli assassini palestinesi. Die Zeit, 6 ottobre 2015.</w:t>
        <w:br/>
      </w:r>
      <w:hyperlink r:id="rId18">
        <w:r>
          <w:rPr>
            <w:rStyle w:val="Hyperlink"/>
            <w:sz w:val="18"/>
          </w:rPr>
          <w:t>https://www.zeit.de/politik/ausland/2015-10/israel-jerusalem-palaestinenser-attentaeter-haeuser-zerstoerung</w:t>
        </w:r>
      </w:hyperlink>
      <w:r>
        <w:rPr/>
        <w:br/>
        <w:br/>
        <w:t>Amid Court Ban, Ezra Says Use Relatives as ‘Human Shields’.( Familiari come scudi umani)</w:t>
        <w:br/>
        <w:t>Haaretz, 18 agosto 2002.</w:t>
        <w:br/>
      </w:r>
      <w:hyperlink r:id="rId19">
        <w:r>
          <w:rPr>
            <w:rStyle w:val="Hyperlink"/>
            <w:sz w:val="18"/>
          </w:rPr>
          <w:t>https://www.haaretz.com/2002-08-18/ty-article/amid-court-ban-ezra-says-use-relatives-as-human-shields/0000017f-dc79-df62-a9ff-dcff6f330000</w:t>
        </w:r>
      </w:hyperlink>
      <w:r>
        <w:rPr/>
        <w:br/>
        <w:br/>
        <w:t>Crimine e terrore in Corea del Nord. Società internazionale per i diritti umani</w:t>
        <w:br/>
      </w:r>
      <w:hyperlink r:id="rId20">
        <w:r>
          <w:rPr>
            <w:rStyle w:val="Hyperlink"/>
            <w:sz w:val="18"/>
          </w:rPr>
          <w:t>https://www.igfm.de/verbrechen-und-terror-in-nordkorea/</w:t>
        </w:r>
      </w:hyperlink>
      <w:r>
        <w:rPr/>
        <w:br/>
        <w:br/>
        <w:t>Peter Koblank: La liberazione dei prigionieri speciali e dei detenuti di tribù in Alto Adige. Edizione online Mythos Elser, 2006.</w:t>
        <w:br/>
      </w:r>
      <w:hyperlink r:id="rId21">
        <w:r>
          <w:rPr>
            <w:rStyle w:val="Hyperlink"/>
            <w:sz w:val="18"/>
          </w:rPr>
          <w:t>http://www.mythoselser.de/niederdorf.htm</w:t>
        </w:r>
      </w:hyperlink>
      <w:r>
        <w:rPr/>
        <w:br/>
        <w:br/>
        <w:t>Detenzione collettiva / Sippenhaftung</w:t>
        <w:br/>
      </w:r>
      <w:hyperlink r:id="rId22">
        <w:r>
          <w:rPr>
            <w:rStyle w:val="Hyperlink"/>
            <w:sz w:val="18"/>
          </w:rPr>
          <w:t>https://it.wikipedia.org/wiki/Sippenhaft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#SaluteMedicina - Salute Medicina - </w:t>
      </w:r>
      <w:hyperlink r:id="rId23">
        <w:r>
          <w:rPr>
            <w:rStyle w:val="Hyperlink"/>
          </w:rPr>
          <w:t>www.kla.tv/SaluteMedicina-it</w:t>
        </w:r>
      </w:hyperlink>
      <w:r>
        <w:rPr/>
        <w:br/>
        <w:br/>
        <w:t xml:space="preserve">#IvoSasek - Video di Ivo Sasek - </w:t>
      </w:r>
      <w:hyperlink r:id="rId24">
        <w:r>
          <w:rPr>
            <w:rStyle w:val="Hyperlink"/>
          </w:rPr>
          <w:t>www.kla.tv/ivo-sasek-it</w:t>
        </w:r>
      </w:hyperlink>
      <w:r>
        <w:rPr/>
        <w:br/>
        <w:br/>
        <w:t xml:space="preserve">#SistemaFinanziario - Sistema finanziario - </w:t>
      </w:r>
      <w:hyperlink r:id="rId25">
        <w:r>
          <w:rPr>
            <w:rStyle w:val="Hyperlink"/>
          </w:rPr>
          <w:t>www.kla.tv/SistemaFinanziario-it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7"/>
                    </pic:cNvPr>
                    <pic:cNvPicPr>
                      <a:picLocks noChangeAspect="1" noChangeArrowheads="1"/>
                    </pic:cNvPicPr>
                  </pic:nvPicPr>
                  <pic:blipFill>
                    <a:blip r:embed="rId26"/>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28">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9">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30">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1"/>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32"/>
      <w:footerReference w:type="default" r:id="rId3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12 abissi della detenzione collettiva - Richiesta urgente di aiuto a tutti! (di Ivo Sasek)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www.kla.tv/31881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31.01.2025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881" TargetMode="External"/><Relationship Id="rId4" Type="http://schemas.openxmlformats.org/officeDocument/2006/relationships/image" Target="media/image2.png"/><Relationship Id="rId5" Type="http://schemas.openxmlformats.org/officeDocument/2006/relationships/hyperlink" Target="https://www.heise.de/news/Neuer-Rekord-Einnahmen-aus-Rundfunkbeitraegen-auf-8-57-Milliarden-Euro-gestiegen-9186536.html" TargetMode="External"/><Relationship Id="rId6" Type="http://schemas.openxmlformats.org/officeDocument/2006/relationships/hyperlink" Target="https://www.efv.admin.ch/efv/de/home/themen/publikationen/taschenstatistik.html" TargetMode="External"/><Relationship Id="rId7" Type="http://schemas.openxmlformats.org/officeDocument/2006/relationships/hyperlink" Target="https://de.statista.com/statistik/daten/studie/198377/umfrage/staatsverschuldung-in-der-europaeischen-union/" TargetMode="External"/><Relationship Id="rId8" Type="http://schemas.openxmlformats.org/officeDocument/2006/relationships/hyperlink" Target="https://www.efv.admin.ch/efv/de/home/themen/publikationen/taschenstatistik.html" TargetMode="External"/><Relationship Id="rId9" Type="http://schemas.openxmlformats.org/officeDocument/2006/relationships/hyperlink" Target="https://www.destatis.de/DE/Themen/Staat/Steuern/Steuereinnahmen/steuereinnahmen.html" TargetMode="External"/><Relationship Id="rId10" Type="http://schemas.openxmlformats.org/officeDocument/2006/relationships/hyperlink" Target="https://de.statista.com/statistik/daten/studie/155196/umfrage/die-zehn-wichtigsten-beitragszahler-im-eu-haushalt-2010/" TargetMode="External"/><Relationship Id="rId11" Type="http://schemas.openxmlformats.org/officeDocument/2006/relationships/hyperlink" Target="https://www.efv.admin.ch/efv/de/home/themen/publikationen/taschenstatistik.html" TargetMode="External"/><Relationship Id="rId12" Type="http://schemas.openxmlformats.org/officeDocument/2006/relationships/hyperlink" Target="https://de.wikipedia.org/wiki/Tabaksteuer_(Germania" TargetMode="External"/><Relationship Id="rId13" Type="http://schemas.openxmlformats.org/officeDocument/2006/relationships/hyperlink" Target="https://www.bfs.admin.ch/bfs/de/home/statistiken/raum-umwelt/umweltgesamtrechnung/umweltbezogene-abgaben.html" TargetMode="External"/><Relationship Id="rId14" Type="http://schemas.openxmlformats.org/officeDocument/2006/relationships/hyperlink" Target="https://www.destatis.de/DE/Themen/Gesellschaft-Umwelt/Umwelt/UGR/steuern-weitere-abgaben/Tabellen/gesamtaufkommen-steuern.html" TargetMode="External"/><Relationship Id="rId15" Type="http://schemas.openxmlformats.org/officeDocument/2006/relationships/hyperlink" Target="https://www.faz.net/aktuell/politik/naher-osten-israels-gerichtshof-erlaubt-sippenhaft-173783.html" TargetMode="External"/><Relationship Id="rId16" Type="http://schemas.openxmlformats.org/officeDocument/2006/relationships/hyperlink" Target="https://www.sueddeutsche.de/politik/nahostkonflikt-beide-seiten-fachen-die-flammen-an-1.2227435" TargetMode="External"/><Relationship Id="rId17" Type="http://schemas.openxmlformats.org/officeDocument/2006/relationships/hyperlink" Target="https://taz.de/Sippenhaft/!1465543/" TargetMode="External"/><Relationship Id="rId18" Type="http://schemas.openxmlformats.org/officeDocument/2006/relationships/hyperlink" Target="https://www.zeit.de/politik/ausland/2015-10/israel-jerusalem-palaestinenser-attentaeter-haeuser-zerstoerung" TargetMode="External"/><Relationship Id="rId19" Type="http://schemas.openxmlformats.org/officeDocument/2006/relationships/hyperlink" Target="https://www.haaretz.com/2002-08-18/ty-article/amid-court-ban-ezra-says-use-relatives-as-human-shields/0000017f-dc79-df62-a9ff-dcff6f330000" TargetMode="External"/><Relationship Id="rId20" Type="http://schemas.openxmlformats.org/officeDocument/2006/relationships/hyperlink" Target="https://www.igfm.de/verbrechen-und-terror-in-nordkorea/" TargetMode="External"/><Relationship Id="rId21" Type="http://schemas.openxmlformats.org/officeDocument/2006/relationships/hyperlink" Target="http://www.mythoselser.de/niederdorf.htm" TargetMode="External"/><Relationship Id="rId22" Type="http://schemas.openxmlformats.org/officeDocument/2006/relationships/hyperlink" Target="https://it.wikipedia.org/wiki/Sippenhaft" TargetMode="External"/><Relationship Id="rId23" Type="http://schemas.openxmlformats.org/officeDocument/2006/relationships/hyperlink" Target="https://www.kla.tv/SaluteMedicina-it" TargetMode="External"/><Relationship Id="rId24" Type="http://schemas.openxmlformats.org/officeDocument/2006/relationships/hyperlink" Target="https://www.kla.tv/ivo-sasek-it" TargetMode="External"/><Relationship Id="rId25" Type="http://schemas.openxmlformats.org/officeDocument/2006/relationships/hyperlink" Target="https://www.kla.tv/SistemaFinanziario-it" TargetMode="External"/><Relationship Id="rId26" Type="http://schemas.openxmlformats.org/officeDocument/2006/relationships/image" Target="media/image3.png"/><Relationship Id="rId27" Type="http://schemas.openxmlformats.org/officeDocument/2006/relationships/hyperlink" Target="https://www.kla.tv/it" TargetMode="External"/><Relationship Id="rId28" Type="http://schemas.openxmlformats.org/officeDocument/2006/relationships/hyperlink" Target="https://www.kla.tv/it" TargetMode="External"/><Relationship Id="rId29" Type="http://schemas.openxmlformats.org/officeDocument/2006/relationships/hyperlink" Target="https://www.kla.tv/abo-it" TargetMode="External"/><Relationship Id="rId30" Type="http://schemas.openxmlformats.org/officeDocument/2006/relationships/hyperlink" Target="https://www.kla.tv/vernetzung&amp;lang=it" TargetMode="External"/><Relationship Id="rId31" Type="http://schemas.openxmlformats.org/officeDocument/2006/relationships/image" Target="media/image4.png"/><Relationship Id="rId32" Type="http://schemas.openxmlformats.org/officeDocument/2006/relationships/header" Target="header1.xml"/><Relationship Id="rId33" Type="http://schemas.openxmlformats.org/officeDocument/2006/relationships/footer" Target="foot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8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Pages>8</Pages>
  <Words>4602</Words>
  <Characters>27395</Characters>
  <Paragraphs>22</Paragraphs>
  <CharactersWithSpaces>32034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2025-01-31T18:45:00Z</dcterms:created>
  <dcterms:modified xsi:type="dcterms:W3CDTF">2025-02-01T18:13:44Z</dcterms:modified>
</cp:coreProperties>
</file>

<file path=docProps/custom.xml><?xml version="1.0" encoding="utf-8"?>
<Properties xmlns="http://schemas.openxmlformats.org/officeDocument/2006/custom-properties" xmlns:vt="http://schemas.openxmlformats.org/officeDocument/2006/docPropsVTypes"/>
</file>