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ace385dd16487a" /><Relationship Type="http://schemas.openxmlformats.org/package/2006/relationships/metadata/core-properties" Target="/package/services/metadata/core-properties/cce33ff55b96438d85805d6255bb252c.psmdcp" Id="R81e44875a03244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Geheime unterirdische Städte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amerikanische Geheimdienst-Experte William Cooper hat mehrfach über unterirdische Städte in den USA und anderen Ländern berichtet.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amerikanische Geheimdienst-Experte William Cooper hat mehrfach über unterirdische Städte in den USA und anderen Ländern berichtet. Es existieren auch zahlreiche Detail-Zeichnungen solcher Anlagen sowie Fotos der Militär-Basen, unter dem Gebiet die Städte liegen sollen. Interessanterweise werden die unterirdischen Städte oft auch in Verbindung mit UFO-Erscheinungen und Kontakt mit außerirdischen Wesen gebracht. Es gibt konkrete Hinweise, dass viele der Städte für geheime technische und „genetische bzw. medizinische” Versuche mit Ausserirdischen verwendet werden. Auch militärische Experimente, die die Öffentlichkeit nichts angehen sollen, würden in diesen Städten durchgeführt, heißt es. Zieht eine weitere Geheimhaltung nicht schädlichere Folgen nach sich, als endlich eine Offenlegung der Wahrheit, wie immer sie auch sein möge?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www.paranormal.de/paramirr/local/area51/area51.html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Geheime unterirdische Städte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anormal.de/paramirr/local/area51/area51.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Geheime unterirdische Städte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