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4061b2a7ae4c6a" /><Relationship Type="http://schemas.openxmlformats.org/package/2006/relationships/metadata/core-properties" Target="/package/services/metadata/core-properties/1efafe591c484fabb74613d7af00125d.psmdcp" Id="R3b652c0a42884a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Moderne rekrutering – hoe men oorlogen in leven houdt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Britse “Guardian” berichtte eind november 2013 dat de regering in Saoedi-Arabië gevangenen van de ‘Djihad’ vrijlating aanbiedt.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Moderne rekrutering – hoe men oorlogen in leven houdt</w:t>
        <w:br/>
        <w:t xml:space="preserve">De Britse “Guardian” berichtte eind november 2013 dat de regering in Saoedi-Arabië gevangenen van de ‘Djihad’* vrijlating aanbiedt. Als tegenzet zijn ze verplicht om in Syrië te vechten tegen de regering Assad. [...] Vanaf het begin van 2013 zouden er al 1.200 ter dood veroordeelden hebben gekozen voor de oorlog in Syrië. “Daarbij zou de Saoedi-Arabische dictatuur nauw samenwerken met Jordanië, de Verenigde Arabische Emiraten, Egypte en Israël. Saoedi-Arabië zou ook wapens in het crisisgebied sluizen, [...] en Israëlische raketten en zwaar geschut zouden met ondersteuning van de VS [...] illegaal in het land worden gesluisd.” Zonder deze ondersteuning zou er geen oorlog in Syrië kunnen zijn. </w:t>
        <w:br/>
        <w:t xml:space="preserve">*De Jihad is een militante vorm van de radicale Islam. Al-Kaïda geldt als belangrijkste verantwoordelijke organisatie.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www.gegenfrage.com/saudis-schicken-</w:t>
        </w:r>
      </w:hyperlink>
      <w:r w:rsidRPr="002B28C8">
        <w:t xml:space="preserve">haeftlinge-zum-kampf-nach-Syrien/ </w:t>
        <w:rPr>
          <w:sz w:val="18"/>
        </w:rPr>
      </w:r>
      <w:r w:rsidR="0026191C">
        <w:rPr/>
        <w:br/>
      </w:r>
      <w:hyperlink w:history="true" r:id="rId22">
        <w:r w:rsidRPr="00F24C6F">
          <w:rPr>
            <w:rStyle w:val="Hyperlink"/>
          </w:rPr>
          <w:rPr>
            <w:sz w:val="18"/>
          </w:rPr>
          <w:t>www.klagemauer.tv</w:t>
        </w:r>
      </w:hyperlink>
      <w:r w:rsidRPr="002B28C8">
        <w:t xml:space="preserve">( Zendingen van 5 en 17.1.2013)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Moderne rekrutering – hoe men oorlogen in leven houdt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www.kla.tv/3459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genfrage.com/saudis-schicken-" TargetMode="External" Id="rId21" /><Relationship Type="http://schemas.openxmlformats.org/officeDocument/2006/relationships/hyperlink" Target="https://www.klagemauer.tv"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5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Moderne rekrutering – hoe men oorlogen in leven houdt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