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b15d7e59bc14523" /><Relationship Type="http://schemas.openxmlformats.org/package/2006/relationships/metadata/core-properties" Target="/package/services/metadata/core-properties/fc7329b704c4466d88370c8f905bde8c.psmdcp" Id="Rc107d4ca406c438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Wir bleiben dran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Fällt es auch Ihnen manchmal noch schwer das für möglich zu halten, was Sie wöchentlich in der S&amp;G lesen? Oder gehören Sie zu denen, die bereits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Fällt es auch Ihnen manchmal noch schwer das für möglich zu halten, was Sie täglich bei kla.tv sehen? Oder gehören Sie zu denen, die bereits über die meisten Themen informiert sind und unter der Last der Aussagen leiden, weil Sie erkannt haben, dass Vieles davon die Wahrheit ist? Auch wir von Klagemauer.TV werden stets neu getroffen von den ungeheuerlichen Hintergründen und Zusammenhängen, die nach und nach ans Licht kommen und uns als gesamte Menschheit in nie da gewesener Weise bedrohen. Doch genau darum gibt es kla.tv, damit wir nicht resignieren oder gar nach dem Motto abstumpfen: „Das wissen wir alles schon“. Nein! Sondern wir decken so lange alle bösen Absichten und Taten auf, die uns den Lebensraum und Lebensatem beschneiden bzw. noch ganz nehmen wollen, bis denen die Luft ausgeht, die dafür verantwortlich sind.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Wir bleiben dran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www.kla.tv/3698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22.07.2014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69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6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Wir bleiben dran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