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bookmarkStart w:id="0" w:name="_GoBack"/>
      <w:bookmarkEnd w:id="0"/>
      <w:r>
        <w:drawing>
          <wp:anchor behindDoc="1" distT="0" distB="71755" distL="144145" distR="114300" simplePos="0" locked="0" layoutInCell="0" allowOverlap="1" relativeHeight="6">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Big Pharma dicta la medicina</w:t>
      </w:r>
    </w:p>
    <w:p>
      <w:pPr>
        <w:pStyle w:val="Normal"/>
        <w:widowControl w:val="false"/>
        <w:spacing w:before="0" w:after="160"/>
        <w:rPr>
          <w:rStyle w:val="Edit"/>
          <w:rFonts w:ascii="Arial" w:hAnsi="Arial" w:cs="Arial"/>
          <w:b/>
          <w:b/>
          <w:color w:val="000000"/>
        </w:rPr>
      </w:pPr>
      <w:r>
        <w:rPr>
          <w:rStyle w:val="Edit"/>
          <w:rFonts w:cs="Arial" w:ascii="Arial" w:hAnsi="Arial"/>
          <w:b/>
          <w:color w:val="000000"/>
        </w:rPr>
        <w:t>Big Pharma tiene el sistema sanitario completamente bajo control.  Una breve mirada entre bastidores muestra la influencia formativa que tiene la industria farmacéutica en toda la investigación y el desarrollo de la medicina.</w:t>
      </w:r>
    </w:p>
    <w:p>
      <w:pPr>
        <w:pStyle w:val="Normal"/>
        <w:spacing w:before="0" w:after="160"/>
        <w:rPr>
          <w:rStyle w:val="Edit"/>
          <w:rFonts w:ascii="Arial" w:hAnsi="Arial" w:cs="Arial"/>
          <w:color w:val="000000"/>
        </w:rPr>
      </w:pPr>
      <w:r>
        <w:rPr>
          <w:rStyle w:val="Edit"/>
          <w:rFonts w:cs="Arial" w:ascii="Arial" w:hAnsi="Arial"/>
          <w:color w:val="000000"/>
        </w:rPr>
        <w:t>La enorme influencia de la industria farmacéutica es bien conocida: desde la investigación de medicamentos hasta su autorización y distribución. Las grandes farmacéuticas tienen el sistema sanitario totalmente bajo control. Las empresas farmacéuticas tienen una influencia decisiva a la hora de decidir qué estudios de investigación se publican. "Es obvio que los artículos críticos con las farmacéuticas tienen menos probabilidades de ser publicados en revistas que reciben el apoyo de las empresas farmacéuticas, cuyos editores médicos reciben el apoyo de las empresas farmacéuticas y cuyos revisores son pagados por las empresas farmacéuticas." afirma Adriane Fugh-Berman, responsable del proyecto PharmedOut del Centro Médico de la Universidad de Georgetown. Así lo confirma un estudio publicado en el "Journal of the American Medical Association", JAMA para abreviar. El estudio analiza los pagos efectuados por los fabricantes de productos farmacéuticos y dispositivos médicos a los revisores de las principales revistas médicas de Estados Unidos. Los revisores son evaluadores de un artículo científico en su área de especialización. Más de la mitad de los homólogos analizados recibieron un total de 1 060 millones de dólares de la industria farmacéutica en el periodo 2020-2022. Los médicos, las asociaciones y los políticos también están bajo la influencia de la industria farmacéutica. Según Pfizer, solo en Austria se destinaron en 2021 unos 23 millones de euros a médicos austriacos, asociaciones, colegios de médicos, etc. Conclusión: Una breve mirada entre bastidores muestra la influencia formativa que tiene la industria farmacéutica en toda la investigación y el desarrollo de la medicina.</w:t>
        <w:br/>
        <w:t>El conocido dicho "El dinero mueve el mundo" también se aplica a la medicina. Las farmacéuticas sólo invierten sus pingües beneficios donde les resulta rentable.</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sak.</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Artikel aus Journal of the American Medical Association</w:t>
        <w:br/>
      </w:r>
      <w:hyperlink r:id="rId5">
        <w:r>
          <w:rPr>
            <w:rStyle w:val="InternetLink"/>
            <w:sz w:val="18"/>
          </w:rPr>
          <w:t>https://jamanetwork.com/journals/jama/article-abstract/2824834</w:t>
        </w:r>
      </w:hyperlink>
      <w:r>
        <w:rPr/>
        <w:br/>
      </w:r>
      <w:hyperlink r:id="rId6">
        <w:r>
          <w:rPr>
            <w:rStyle w:val="InternetLink"/>
            <w:sz w:val="18"/>
          </w:rPr>
          <w:t>https://www.researchgate.net/publication/384826015_Payments_by_Drug_and_Medical_Device_Manufacturers_to_US_Peer_Reviewers_of_Major_Medical_Journals</w:t>
        </w:r>
      </w:hyperlink>
      <w:r>
        <w:rPr/>
        <w:br/>
        <w:br/>
        <w:t>Pharma zahlt Milliarden zur Beeinflussung von Gutachtern</w:t>
        <w:br/>
      </w:r>
      <w:hyperlink r:id="rId7">
        <w:r>
          <w:rPr>
            <w:rStyle w:val="InternetLink"/>
            <w:sz w:val="18"/>
          </w:rPr>
          <w:t>https://tkp.at/2024/12/30/pharma-zahlt-milliarden-zur-beeinflussung-von-gutachtern-medizinischer-fachzeitschriften/</w:t>
        </w:r>
      </w:hyperlink>
      <w:r>
        <w:rPr/>
        <w:br/>
      </w:r>
      <w:hyperlink r:id="rId8">
        <w:r>
          <w:rPr>
            <w:rStyle w:val="InternetLink"/>
            <w:sz w:val="18"/>
          </w:rPr>
          <w:t>https://uncutnews.ch/pharma-zahlte-106-mrd-an-gutachter-der-wichtigsten-medizinischen-fachzeitschriften/</w:t>
        </w:r>
      </w:hyperlink>
      <w:r>
        <w:rPr/>
        <w:br/>
        <w:br/>
        <w:t>Pharma finanziert Politiker, Ärzte usw.</w:t>
        <w:br/>
      </w:r>
      <w:hyperlink r:id="rId9">
        <w:r>
          <w:rPr>
            <w:rStyle w:val="InternetLink"/>
            <w:sz w:val="18"/>
          </w:rPr>
          <w:t>https://tkp.at/2025/01/31/so-finanziert-big-pharma-politiker/</w:t>
        </w:r>
      </w:hyperlink>
      <w:r>
        <w:rPr/>
        <w:br/>
        <w:br/>
        <w:t>Geldbeträge von Pfizer an Gesundheitswesen in Österreich:</w:t>
        <w:br/>
        <w:t>Disclosure_AT_2021_narrow margins.pdf</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#saludMedicina - </w:t>
      </w:r>
      <w:hyperlink r:id="rId10">
        <w:r>
          <w:rPr>
            <w:rStyle w:val="InternetLink"/>
          </w:rPr>
          <w:t>www.kla.tv/saludMedicina</w:t>
        </w:r>
      </w:hyperlink>
      <w:r>
        <w:rPr/>
        <w:br/>
        <w:br/>
        <w:t xml:space="preserve">#Farmaindustria - </w:t>
      </w:r>
      <w:hyperlink r:id="rId11">
        <w:r>
          <w:rPr>
            <w:rStyle w:val="InternetLink"/>
          </w:rPr>
          <w:t>www.kla.tv/Farmaindustria</w:t>
        </w:r>
      </w:hyperlink>
      <w:r>
        <w:rPr/>
        <w:br/>
        <w:br/>
        <w:t xml:space="preserve">#BioNTech_Pfizer - BioNTech/Pfizer - </w:t>
      </w:r>
      <w:hyperlink r:id="rId12">
        <w:r>
          <w:rPr>
            <w:rStyle w:val="InternetLink"/>
          </w:rPr>
          <w:t>www.kla.tv/BioNTech_Pfizer</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5">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b/>
        </w:rPr>
      </w:pPr>
      <w:r>
        <w:rPr>
          <w:rFonts w:cs="Arial" w:ascii="Arial" w:hAnsi="Arial"/>
          <w:b/>
          <w:sz w:val="18"/>
          <w:szCs w:val="18"/>
        </w:rPr>
        <w:t>Para obtener una suscripción gratuita con noticias mensuales</w:t>
        <w:br/>
        <w:t xml:space="preserve">por correo electrónico, suscríbase a: </w:t>
      </w:r>
      <w:hyperlink r:id="rId16">
        <w:r>
          <w:rPr>
            <w:rStyle w:val="InternetLink"/>
            <w:b/>
          </w:rPr>
          <w:t>www.kla.tv/abo&amp;lan=es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7">
        <w:r>
          <w:rPr>
            <w:rStyle w:val="InternetLink"/>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18">
        <w:r>
          <w:rPr>
            <w:rStyle w:val="Internet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9">
        <w:r>
          <w:rPr>
            <w:rStyle w:val="InternetLink"/>
            <w:sz w:val="12"/>
          </w:rPr>
          <w:t>www.kla.tv/licence</w:t>
        </w:r>
      </w:hyperlink>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Big Pharma dicta la medicina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Enlace directo:</w:t>
          </w:r>
          <w:r>
            <w:rPr>
              <w:rFonts w:eastAsia="Calibri" w:cs="Arial" w:ascii="Arial" w:hAnsi="Arial"/>
              <w:kern w:val="0"/>
              <w:sz w:val="18"/>
              <w:szCs w:val="22"/>
              <w:lang w:val="de-DE" w:eastAsia="de-DE" w:bidi="ar-SA"/>
            </w:rPr>
            <w:t xml:space="preserve"> </w:t>
          </w:r>
          <w:hyperlink r:id="rId1">
            <w:r>
              <w:rPr>
                <w:rStyle w:val="InternetLink"/>
                <w:rFonts w:eastAsia="Calibri" w:cs="Arial" w:ascii="Arial" w:hAnsi="Arial"/>
                <w:kern w:val="0"/>
                <w:sz w:val="18"/>
                <w:szCs w:val="22"/>
                <w:lang w:val="de-DE" w:eastAsia="de-DE" w:bidi="ar-SA"/>
              </w:rPr>
              <w:t>www.kla.tv/37247</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Publicado: </w:t>
          </w:r>
          <w:r>
            <w:rPr>
              <w:rFonts w:eastAsia="Calibri" w:cs="Arial" w:ascii="Arial" w:hAnsi="Arial"/>
              <w:kern w:val="0"/>
              <w:sz w:val="18"/>
              <w:szCs w:val="22"/>
              <w:lang w:val="de-DE" w:eastAsia="de-DE" w:bidi="ar-SA"/>
            </w:rPr>
            <w:t>07.04.2025</w:t>
          </w:r>
        </w:p>
        <w:p>
          <w:pPr>
            <w:pStyle w:val="Header"/>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Pr/>
  </w:style>
  <w:style w:type="character" w:styleId="FuzeileZchn" w:customStyle="1">
    <w:name w:val="Fußzeile Zchn"/>
    <w:basedOn w:val="DefaultParagraphFont"/>
    <w:link w:val="Footer"/>
    <w:uiPriority w:val="99"/>
    <w:qFormat/>
    <w:rPr/>
  </w:style>
  <w:style w:type="character" w:styleId="SprechblasentextZchn" w:customStyle="1">
    <w:name w:val="Sprechblasentext Zchn"/>
    <w:basedOn w:val="DefaultParagraphFont"/>
    <w:link w:val="BalloonText"/>
    <w:uiPriority w:val="99"/>
    <w:semiHidden/>
    <w:qFormat/>
    <w:rPr>
      <w:rFonts w:ascii="Tahoma" w:hAnsi="Tahoma" w:cs="Tahoma"/>
      <w:sz w:val="16"/>
      <w:szCs w:val="16"/>
    </w:rPr>
  </w:style>
  <w:style w:type="character" w:styleId="InternetLink">
    <w:name w:val="Hyperlink"/>
    <w:basedOn w:val="DefaultParagraphFont"/>
    <w:uiPriority w:val="99"/>
    <w:unhideWhenUsed/>
    <w:rPr>
      <w:color w:val="0000FF" w:themeColor="hyperlink"/>
      <w:u w:val="single"/>
    </w:rPr>
  </w:style>
  <w:style w:type="character" w:styleId="Texttitelsize" w:customStyle="1">
    <w:name w:val="text_titel_size"/>
    <w:basedOn w:val="DefaultParagraphFont"/>
    <w:qFormat/>
    <w:rPr/>
  </w:style>
  <w:style w:type="character" w:styleId="Edit" w:customStyle="1">
    <w:name w:val="edit"/>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pPr>
      <w:spacing w:lineRule="auto" w:line="240" w:before="0" w:after="0"/>
    </w:pPr>
    <w:rPr>
      <w:rFonts w:ascii="Tahoma" w:hAnsi="Tahoma" w:cs="Tahoma"/>
      <w:sz w:val="16"/>
      <w:szCs w:val="16"/>
    </w:rPr>
  </w:style>
  <w:style w:type="paragraph" w:styleId="ListParagraph">
    <w:name w:val="List Paragraph"/>
    <w:basedOn w:val="Normal"/>
    <w:uiPriority w:val="34"/>
    <w:qFormat/>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247" TargetMode="External"/><Relationship Id="rId4" Type="http://schemas.openxmlformats.org/officeDocument/2006/relationships/image" Target="media/image2.png"/><Relationship Id="rId5" Type="http://schemas.openxmlformats.org/officeDocument/2006/relationships/hyperlink" Target="https://jamanetwork.com/journals/jama/article-abstract/2824834" TargetMode="External"/><Relationship Id="rId6" Type="http://schemas.openxmlformats.org/officeDocument/2006/relationships/hyperlink" Target="https://www.researchgate.net/publication/384826015_Payments_by_Drug_and_Medical_Device_Manufacturers_to_US_Peer_Reviewers_of_Major_Medical_Journals" TargetMode="External"/><Relationship Id="rId7" Type="http://schemas.openxmlformats.org/officeDocument/2006/relationships/hyperlink" Target="https://tkp.at/2024/12/30/pharma-zahlt-milliarden-zur-beeinflussung-von-gutachtern-medizinischer-fachzeitschriften/" TargetMode="External"/><Relationship Id="rId8" Type="http://schemas.openxmlformats.org/officeDocument/2006/relationships/hyperlink" Target="https://uncutnews.ch/pharma-zahlte-106-mrd-an-gutachter-der-wichtigsten-medizinischen-fachzeitschriften/" TargetMode="External"/><Relationship Id="rId9" Type="http://schemas.openxmlformats.org/officeDocument/2006/relationships/hyperlink" Target="https://tkp.at/2025/01/31/so-finanziert-big-pharma-politiker/" TargetMode="External"/><Relationship Id="rId10" Type="http://schemas.openxmlformats.org/officeDocument/2006/relationships/hyperlink" Target="https://www.kla.tv/saludMedicina" TargetMode="External"/><Relationship Id="rId11" Type="http://schemas.openxmlformats.org/officeDocument/2006/relationships/hyperlink" Target="https://www.kla.tv/Farmaindustria" TargetMode="External"/><Relationship Id="rId12" Type="http://schemas.openxmlformats.org/officeDocument/2006/relationships/hyperlink" Target="https://www.kla.tv/BioNTech_Pfizer" TargetMode="External"/><Relationship Id="rId13" Type="http://schemas.openxmlformats.org/officeDocument/2006/relationships/image" Target="media/image3.png"/><Relationship Id="rId14" Type="http://schemas.openxmlformats.org/officeDocument/2006/relationships/hyperlink" Target="https://www.kla.tv/es" TargetMode="External"/><Relationship Id="rId15" Type="http://schemas.openxmlformats.org/officeDocument/2006/relationships/hyperlink" Target="https://www.kla.tv/es" TargetMode="External"/><Relationship Id="rId16" Type="http://schemas.openxmlformats.org/officeDocument/2006/relationships/hyperlink" Target="https://www.kla.tv/abo&amp;lan=es" TargetMode="External"/><Relationship Id="rId17" Type="http://schemas.openxmlformats.org/officeDocument/2006/relationships/hyperlink" Target="https://www.kla.tv/vernetzung&amp;lang=es" TargetMode="External"/><Relationship Id="rId18" Type="http://schemas.openxmlformats.org/officeDocument/2006/relationships/hyperlink" Target="https://www.kla.tv/licence" TargetMode="External"/><Relationship Id="rId19" Type="http://schemas.openxmlformats.org/officeDocument/2006/relationships/hyperlink" Target="https://www.kla.tv/licence"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24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2</Pages>
  <Words>517</Words>
  <Characters>3622</Characters>
  <CharactersWithSpaces>4129</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salud y medicina</cp:category>
  <dcterms:created xsi:type="dcterms:W3CDTF">2025-11-29T12:14:00Z</dcterms:created>
  <dc:creator>sak; Kla.tv DocGen 2.0.0.0</dc:creator>
  <dc:description>2m20s, GermanVideo=36739</dc:description>
  <cp:keywords>saludMedicina Farmaindustria BioNTech_Pfizer</cp:keywords>
  <dc:language>es</dc:language>
  <cp:lastModifiedBy>Medienarbeiter</cp:lastModifiedBy>
  <dcterms:modified xsi:type="dcterms:W3CDTF">2025-11-29T12:14:00Z</dcterms:modified>
  <cp:revision>2</cp:revision>
  <dc:subject/>
  <dc:title>Big Pharma dicta la medicina</dc:title>
</cp:coreProperties>
</file>

<file path=docProps/custom.xml><?xml version="1.0" encoding="utf-8"?>
<Properties xmlns="http://schemas.openxmlformats.org/officeDocument/2006/custom-properties" xmlns:vt="http://schemas.openxmlformats.org/officeDocument/2006/docPropsVTypes"/>
</file>