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70a57c85d484966" /><Relationship Type="http://schemas.openxmlformats.org/package/2006/relationships/metadata/core-properties" Target="/package/services/metadata/core-properties/e20d62e4d6704d4f911fddf88c3bc7ef.psmdcp" Id="R2dca6877ce3b460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Die EU ist ein Kriegsprojekt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Apparatschicks in der EU scheinen zunehmend nervös zu werden. Sie spüren, dass ihnen die Felle davonschwimmen und handeln zunehmend nach dem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Die Apparatschicks in der EU scheinen zunehmend nervös zu werden. Sie spüren, dass ihnen die Felle davonschwimmen und handeln zunehmend nach dem Motto: Und bist Du nicht willig, dann brauch‘ ich Gewalt. Die Bevölkerungen wollen weder Euro noch EU, dürfen darüber jedoch nicht abstimmen. Die Griechen werden unter dem Titel „Austeritätspolitik“* enteignet. Das heißt, sie müssen ihre staatlichen Betriebe und Infrastrukturen an ausländische Investoren verkaufen. Immer deutlicher tritt zutage, was eigentlich alle schon wissen: Die EU ist ein Kriegsprojekt – kein Friedensprojekt. Die Nobelpreisträger Obama und EU zermalmen alles, was sich durch wirtschaftliche Gewalt nicht zentralisieren und privatisieren lässt. Die Meinung der Menschen in den Heimaten fernab von Brüssel ist nicht gefragt. *strenge wirtschaftliche Einschränkung</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im.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CH-Zeit Nr. 8, Postfach 23, 8416 Flaach</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Die EU ist ein Kriegsprojekt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www.kla.tv/3741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25.07.2014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74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74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Die EU ist ein Kriegsprojekt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