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7">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Fonts w:cs="Arial" w:ascii="Arial" w:hAnsi="Arial"/>
        </w:rPr>
        <w:t xml:space="preserve"> </w:t>
      </w:r>
    </w:p>
    <w:p>
      <w:pPr>
        <w:pStyle w:val="Normal"/>
        <w:widowControl w:val="false"/>
        <w:spacing w:before="0" w:after="160"/>
        <w:rPr/>
      </w:pPr>
      <w:r>
        <w:drawing>
          <wp:anchor behindDoc="0" distT="0" distB="0" distL="114300" distR="114300" simplePos="0" locked="0" layoutInCell="0" allowOverlap="1" relativeHeight="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 y="0"/>
                <wp:lineTo x="-2" y="20522"/>
                <wp:lineTo x="20522" y="20522"/>
                <wp:lineTo x="20522" y="0"/>
                <wp:lineTo x="-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4"/>
          <w:szCs w:val="44"/>
        </w:rPr>
        <w:t xml:space="preserve">Dank mehr CO₂: Heilpflanzen zeigen </w:t>
        <w:br/>
        <w:t>mehr Wirkung</w:t>
      </w:r>
    </w:p>
    <w:p>
      <w:pPr>
        <w:pStyle w:val="Normal"/>
        <w:widowControl w:val="false"/>
        <w:spacing w:before="0" w:after="160"/>
        <w:rPr>
          <w:rStyle w:val="edit"/>
          <w:rFonts w:ascii="Arial" w:hAnsi="Arial" w:cs="Arial"/>
          <w:b/>
          <w:color w:val="000000"/>
        </w:rPr>
      </w:pPr>
      <w:r>
        <w:rPr>
          <w:rStyle w:val="edit"/>
          <w:rFonts w:cs="Arial" w:ascii="Arial" w:hAnsi="Arial"/>
          <w:b/>
          <w:color w:val="000000"/>
        </w:rPr>
        <w:t>Wenn die Klima-Alarmisten aus Politik und Systemmedien positive CO2-Effekte wie diesen verschweigen und sogar bekämpfen, entlarvt sie und ihre Strippenzieher der Agenda 2030 das nicht als krankmachend und menschenfeindlich ?</w:t>
      </w:r>
    </w:p>
    <w:p>
      <w:pPr>
        <w:pStyle w:val="Normal"/>
        <w:spacing w:before="0" w:after="160"/>
        <w:rPr>
          <w:rStyle w:val="edit"/>
          <w:rFonts w:ascii="Arial" w:hAnsi="Arial" w:cs="Arial"/>
          <w:color w:val="000000"/>
        </w:rPr>
      </w:pPr>
      <w:r>
        <w:rPr>
          <w:rStyle w:val="edit"/>
          <w:rFonts w:cs="Arial" w:ascii="Arial" w:hAnsi="Arial"/>
          <w:color w:val="000000"/>
        </w:rPr>
        <w:t xml:space="preserve">Das National Institutes of Health des US-Bundesstaates Maryland hat neuere Studien veröffentlicht, die belegen, dass erhöhte CO₂-Werte nicht nur das Wachstum von Pflanzen fördern, sondern auch deren Konzentration an medizinisch relevanten Inhaltsstoffen steigern können. Heilpflanzen, die seit Jahrtausenden in der Naturheilkunde verwendet werden, nehmen besonders gut an Wirkstoffen zu. Da der CO₂-Gehalt in der Atmosphäre vor einigen tausend Jahren deutlich höher war als heute, ist es durchaus plausibel, dass die Heilkräuter damals eine noch stärkere Wirkung zeigten als heute. Unterm Strich scheint also die Zunahme des Kohlendioxidgehalts in der Atmosphäre mehr Nutzen als Schaden zu bringen.   </w:t>
        <w:br/>
        <w:t>Daher stellt sich die Frage: Wenn Klima-Hysteriker aus Politik und Systemmedien positive CO₂-Effekte wie diesen verschweigen und sogar bekämpfen, entlarvt das sie und ihre Strippenzieher der UN Agenda 2030 nicht als krankmachend und menschenfeindlich?</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hm</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Mehr CO2, mehr Wirkung: Heilpflanzen zeigen deutliche Reaktion</w:t>
        <w:br/>
      </w:r>
      <w:hyperlink r:id="rId5">
        <w:r>
          <w:rPr>
            <w:rStyle w:val="Hyperlink"/>
            <w:sz w:val="18"/>
          </w:rPr>
          <w:t>https://report24.news/mehr-co2-mehr-wirkung-heilpflanzen-zeigen-deutliche-reaktion/</w:t>
        </w:r>
      </w:hyperlink>
      <w:r>
        <w:rPr/>
        <w:br/>
        <w:t>Studien zum positiven Effekt von CO₂ bei Heilpflanzen</w:t>
        <w:br/>
      </w:r>
      <w:hyperlink r:id="rId6">
        <w:r>
          <w:rPr>
            <w:rStyle w:val="Hyperlink"/>
            <w:sz w:val="18"/>
          </w:rPr>
          <w:t>https://pmc.ncbi.nlm.nih.gov/articles/PMC6263315/</w:t>
        </w:r>
      </w:hyperlink>
      <w:r>
        <w:rPr/>
        <w:br/>
      </w:r>
      <w:hyperlink r:id="rId7">
        <w:r>
          <w:rPr>
            <w:rStyle w:val="Hyperlink"/>
            <w:sz w:val="18"/>
          </w:rPr>
          <w:t>https://pubmed.ncbi.nlm.nih.gov/30100468/</w:t>
        </w:r>
      </w:hyperlink>
      <w:r>
        <w:rPr/>
        <w:br/>
      </w:r>
      <w:hyperlink r:id="rId8">
        <w:r>
          <w:rPr>
            <w:rStyle w:val="Hyperlink"/>
            <w:sz w:val="18"/>
          </w:rPr>
          <w:t>https://pubmed.ncbi.nlm.nih.gov/32201363/</w:t>
        </w:r>
      </w:hyperlink>
      <w:r>
        <w:rPr/>
        <w:br/>
      </w:r>
      <w:hyperlink r:id="rId9">
        <w:r>
          <w:rPr>
            <w:rStyle w:val="Hyperlink"/>
            <w:sz w:val="18"/>
          </w:rPr>
          <w:t>https://academic.oup.com/pcp/article/65/1/4/7319548?login=false</w:t>
        </w:r>
      </w:hyperlink>
      <w:r>
        <w:rPr/>
        <w:br/>
      </w:r>
      <w:hyperlink r:id="rId10">
        <w:r>
          <w:rPr>
            <w:rStyle w:val="Hyperlink"/>
            <w:sz w:val="18"/>
          </w:rPr>
          <w:t>https://www.mdpi.com/1420-3049/15/11/7907</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#USA - </w:t>
      </w:r>
      <w:hyperlink r:id="rId11">
        <w:r>
          <w:rPr>
            <w:rStyle w:val="Hyperlink"/>
          </w:rPr>
          <w:t>www.kla.tv/USA</w:t>
        </w:r>
      </w:hyperlink>
      <w:r>
        <w:rPr/>
        <w:br/>
        <w:br/>
        <w:t xml:space="preserve">#UNO - </w:t>
      </w:r>
      <w:hyperlink r:id="rId12">
        <w:r>
          <w:rPr>
            <w:rStyle w:val="Hyperlink"/>
          </w:rPr>
          <w:t>www.kla.tv/UNO</w:t>
        </w:r>
      </w:hyperlink>
      <w:r>
        <w:rPr/>
        <w:br/>
        <w:br/>
        <w:t xml:space="preserve">#Agenda2030 - Agenda 2030 - </w:t>
      </w:r>
      <w:hyperlink r:id="rId13">
        <w:r>
          <w:rPr>
            <w:rStyle w:val="Hyperlink"/>
          </w:rPr>
          <w:t>www.kla.tv/Agenda2030</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9" y="0"/>
                <wp:lineTo x="-3" y="1147"/>
                <wp:lineTo x="-3" y="19449"/>
                <wp:lineTo x="417" y="21167"/>
                <wp:lineTo x="829" y="21167"/>
                <wp:lineTo x="20357" y="21167"/>
                <wp:lineTo x="21188" y="20018"/>
                <wp:lineTo x="21188" y="1147"/>
                <wp:lineTo x="20357" y="0"/>
                <wp:lineTo x="829" y="0"/>
              </wp:wrapPolygon>
            </wp:wrapTight>
            <wp:docPr id="3"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5"/>
                    </pic:cNvPr>
                    <pic:cNvPicPr>
                      <a:picLocks noChangeAspect="1" noChangeArrowheads="1"/>
                    </pic:cNvPicPr>
                  </pic:nvPicPr>
                  <pic:blipFill>
                    <a:blip r:embed="rId14"/>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start="714"/>
        <w:rPr/>
      </w:pPr>
      <w:r>
        <w:rPr/>
        <w:t>was die Medien nicht verschweigen sollten ...</w:t>
      </w:r>
    </w:p>
    <w:p>
      <w:pPr>
        <w:pStyle w:val="ListParagraph"/>
        <w:keepNext w:val="true"/>
        <w:keepLines/>
        <w:numPr>
          <w:ilvl w:val="0"/>
          <w:numId w:val="1"/>
        </w:numPr>
        <w:ind w:hanging="357" w:start="714"/>
        <w:rPr/>
      </w:pPr>
      <w:r>
        <w:rPr/>
        <w:t>wenig Gehörtes vom Volk, für das Volk ...</w:t>
      </w:r>
    </w:p>
    <w:p>
      <w:pPr>
        <w:pStyle w:val="ListParagraph"/>
        <w:keepNext w:val="true"/>
        <w:keepLines/>
        <w:numPr>
          <w:ilvl w:val="0"/>
          <w:numId w:val="1"/>
        </w:numPr>
        <w:ind w:hanging="357" w:start="714"/>
        <w:rPr/>
      </w:pPr>
      <w:r>
        <w:rPr/>
        <w:t xml:space="preserve">tägliche News ab 19:45 Uhr auf </w:t>
      </w:r>
      <w:hyperlink r:id="rId16">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17">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8">
        <w:r>
          <w:rPr>
            <w:rStyle w:val="Hyperlink"/>
            <w:b/>
          </w:rPr>
          <w:t>www.kla.tv/vernetzung</w:t>
        </w:r>
      </w:hyperlink>
    </w:p>
    <w:p>
      <w:pPr>
        <w:pStyle w:val="Normal"/>
        <w:keepNext w:val="true"/>
        <w:keepLines/>
        <w:pBdr>
          <w:top w:val="single" w:sz="6" w:space="8" w:color="365F91" w:themeColor="accent1" w:themeShade="bf"/>
        </w:pBdr>
        <w:spacing w:before="0" w:after="120"/>
        <w:rPr>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9"/>
                    <a:stretch>
                      <a:fillRect/>
                    </a:stretch>
                  </pic:blipFill>
                  <pic:spPr bwMode="auto">
                    <a:xfrm>
                      <a:off x="0" y="0"/>
                      <a:ext cx="374650" cy="184150"/>
                    </a:xfrm>
                    <a:prstGeom prst="rect">
                      <a:avLst/>
                    </a:prstGeom>
                    <a:noFill/>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20"/>
      <w:headerReference w:type="default" r:id="rId21"/>
      <w:headerReference w:type="first" r:id="rId22"/>
      <w:footerReference w:type="even" r:id="rId23"/>
      <w:footerReference w:type="default" r:id="rId24"/>
      <w:footerReference w:type="first" r:id="rId25"/>
      <w:type w:val="nextPage"/>
      <w:pgSz w:w="11906" w:h="16838"/>
      <w:pgMar w:left="1417" w:right="1417"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roman"/>
    <w:pitch w:val="default"/>
  </w:font>
  <w:font w:name="Tahoma">
    <w:charset w:val="01"/>
    <w:family w:val="swiss"/>
    <w:pitch w:val="default"/>
  </w:font>
  <w:font w:name="Times New Roman">
    <w:charset w:val="01"/>
    <w:family w:val="roman"/>
    <w:pitch w:val="default"/>
  </w:font>
  <w:font w:name="Arial">
    <w:charset w:val="01"/>
    <w:family w:val="swiss"/>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Dank mehr CO₂: Heilpflanzen zeigen mehr Wirkung  </w:t>
      <w:tab/>
    </w:r>
    <w:r>
      <w:rPr>
        <w:bCs/>
        <w:sz w:val="18"/>
      </w:rPr>
      <w:fldChar w:fldCharType="begin"/>
    </w:r>
    <w:r>
      <w:rPr>
        <w:bCs/>
        <w:sz w:val="18"/>
      </w:rPr>
      <w:instrText xml:space="preserve"> PAGE \* ARABIC </w:instrText>
    </w:r>
    <w:r>
      <w:rPr>
        <w:bCs/>
        <w:sz w:val="18"/>
      </w:rPr>
      <w:fldChar w:fldCharType="separate"/>
    </w:r>
    <w:r>
      <w:rPr>
        <w:bCs/>
        <w:sz w:val="18"/>
      </w:rPr>
      <w:t>2</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Pr>
        <w:bCs/>
        <w:sz w:val="18"/>
      </w:rPr>
      <w:t>2</w:t>
    </w:r>
    <w:r>
      <w:rPr>
        <w:bCs/>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Dank mehr CO₂: Heilpflanzen zeigen mehr Wirkung  </w:t>
      <w:tab/>
    </w:r>
    <w:r>
      <w:rPr>
        <w:bCs/>
        <w:sz w:val="18"/>
      </w:rPr>
      <w:fldChar w:fldCharType="begin"/>
    </w:r>
    <w:r>
      <w:rPr>
        <w:bCs/>
        <w:sz w:val="18"/>
      </w:rPr>
      <w:instrText xml:space="preserve"> PAGE \* ARABIC </w:instrText>
    </w:r>
    <w:r>
      <w:rPr>
        <w:bCs/>
        <w:sz w:val="18"/>
      </w:rPr>
      <w:fldChar w:fldCharType="separate"/>
    </w:r>
    <w:r>
      <w:rPr>
        <w:bCs/>
        <w:sz w:val="18"/>
      </w:rPr>
      <w:t>2</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Pr>
        <w:bCs/>
        <w:sz w:val="18"/>
      </w:rPr>
      <w:t>2</w:t>
    </w:r>
    <w:r>
      <w:rPr>
        <w:bCs/>
        <w:sz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www.kla.tv/39446</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29.12.2025</w:t>
          </w:r>
        </w:p>
        <w:p>
          <w:pPr>
            <w:pStyle w:val="Header"/>
            <w:widowControl/>
            <w:spacing w:before="0" w:after="0"/>
            <w:jc w:val="star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www.kla.tv/39446</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29.12.2025</w:t>
          </w:r>
        </w:p>
        <w:p>
          <w:pPr>
            <w:pStyle w:val="Header"/>
            <w:widowControl/>
            <w:spacing w:before="0" w:after="0"/>
            <w:jc w:val="star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55"/>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Times New Roman" w:hAnsi="Times New Roman"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Verzeichnis">
    <w:name w:val="Verzeichnis"/>
    <w:basedOn w:val="Normal"/>
    <w:qFormat/>
    <w:pPr>
      <w:suppressLineNumbers/>
    </w:pPr>
    <w:rPr>
      <w:rFonts w:ascii="Times New Roman" w:hAnsi="Times New Roman" w:cs="Lucida Sans"/>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star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9446" TargetMode="External"/><Relationship Id="rId4" Type="http://schemas.openxmlformats.org/officeDocument/2006/relationships/image" Target="media/image2.png"/><Relationship Id="rId5" Type="http://schemas.openxmlformats.org/officeDocument/2006/relationships/hyperlink" Target="https://report24.news/mehr-co2-mehr-wirkung-heilpflanzen-zeigen-deutliche-reaktion/" TargetMode="External"/><Relationship Id="rId6" Type="http://schemas.openxmlformats.org/officeDocument/2006/relationships/hyperlink" Target="https://pmc.ncbi.nlm.nih.gov/articles/PMC6263315/" TargetMode="External"/><Relationship Id="rId7" Type="http://schemas.openxmlformats.org/officeDocument/2006/relationships/hyperlink" Target="https://pubmed.ncbi.nlm.nih.gov/30100468/" TargetMode="External"/><Relationship Id="rId8" Type="http://schemas.openxmlformats.org/officeDocument/2006/relationships/hyperlink" Target="https://pubmed.ncbi.nlm.nih.gov/32201363/" TargetMode="External"/><Relationship Id="rId9" Type="http://schemas.openxmlformats.org/officeDocument/2006/relationships/hyperlink" Target="https://academic.oup.com/pcp/article/65/1/4/7319548?login=false" TargetMode="External"/><Relationship Id="rId10" Type="http://schemas.openxmlformats.org/officeDocument/2006/relationships/hyperlink" Target="https://www.mdpi.com/1420-3049/15/11/7907" TargetMode="External"/><Relationship Id="rId11" Type="http://schemas.openxmlformats.org/officeDocument/2006/relationships/hyperlink" Target="https://www.kla.tv/USA" TargetMode="External"/><Relationship Id="rId12" Type="http://schemas.openxmlformats.org/officeDocument/2006/relationships/hyperlink" Target="https://www.kla.tv/UNO" TargetMode="External"/><Relationship Id="rId13" Type="http://schemas.openxmlformats.org/officeDocument/2006/relationships/hyperlink" Target="https://www.kla.tv/Agenda2030" TargetMode="External"/><Relationship Id="rId14" Type="http://schemas.openxmlformats.org/officeDocument/2006/relationships/image" Target="media/image3.png"/><Relationship Id="rId15" Type="http://schemas.openxmlformats.org/officeDocument/2006/relationships/hyperlink" Target="https://www.kla.tv" TargetMode="External"/><Relationship Id="rId16" Type="http://schemas.openxmlformats.org/officeDocument/2006/relationships/hyperlink" Target="https://www.kla.tv/" TargetMode="External"/><Relationship Id="rId17" Type="http://schemas.openxmlformats.org/officeDocument/2006/relationships/hyperlink" Target="https://www.kla.tv/abo" TargetMode="External"/><Relationship Id="rId18" Type="http://schemas.openxmlformats.org/officeDocument/2006/relationships/hyperlink" Target="https://www.kla.tv/vernetzung" TargetMode="External"/><Relationship Id="rId19" Type="http://schemas.openxmlformats.org/officeDocument/2006/relationships/image" Target="media/image4.png"/><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header" Target="header3.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oter" Target="footer3.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9446"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9446"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LibreOffice/25.8.4.2$Windows_X86_64 LibreOffice_project/290daaa01b999472f0c7a3890eb6a550fd74c6df</Application>
  <AppVersion>15.0000</AppVersion>
  <Pages>2</Pages>
  <Words>373</Words>
  <Characters>2612</Characters>
  <CharactersWithSpaces>2965</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2025-12-29T18:45:00Z</dcterms:created>
  <dc:creator>Kla.tv (DocGen 1.6.1.0)</dc:creator>
  <dc:description/>
  <dc:language>de-CH</dc:language>
  <cp:lastModifiedBy>x y</cp:lastModifiedBy>
  <dcterms:modified xsi:type="dcterms:W3CDTF">2025-12-29T19:50:19Z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