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e46cb75893e41ca" /><Relationship Type="http://schemas.openxmlformats.org/package/2006/relationships/metadata/core-properties" Target="/package/services/metadata/core-properties/22615508d05e4dfb8698b40891e53854.psmdcp" Id="Re1a22436fed1437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A 22a AZK ♫ Doamne Tu vezi ♫de la Noah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În texte pline de emoție, tinerii exprimă întunericul vremurilor actuale: străzile sunt în flăcări, copiii țipă și nimeni nu se uită.
Înconjurați de morminte digitale, ca într-un labirint, ei proclamă totuși:
„Mai există speranță, ne așteaptă un viitor mai bun!”
„Doamne Tu vezi” – Un strigăt către Dumnezeu, care se transformă în certitudine: această pace pentru lume, un cămin și zile mai luminoase le trăim ACUM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Am mers singur</w:t>
        <w:br/>
        <w:t xml:space="preserve">Prin străzi în flăcări</w:t>
        <w:br/>
        <w:t xml:space="preserve">Unde ecourile se sting</w:t>
        <w:br/>
        <w:t xml:space="preserve">Și războiul se repetă</w:t>
        <w:br/>
        <w:t xml:space="preserve"/>
        <w:br/>
        <w:t xml:space="preserve">Copiii plâng</w:t>
        <w:br/>
        <w:t xml:space="preserve">Dar nimeni nu vede</w:t>
        <w:br/>
        <w:t xml:space="preserve">Mii de răni</w:t>
        <w:br/>
        <w:t xml:space="preserve">Pentru care nu există vindecare</w:t>
        <w:br/>
        <w:t xml:space="preserve"/>
        <w:br/>
        <w:t xml:space="preserve">Venele lor sunt reci</w:t>
        <w:br/>
        <w:t xml:space="preserve">Într-o lume otrăvită</w:t>
        <w:br/>
        <w:t xml:space="preserve">Oamenii se dezbină</w:t>
        <w:br/>
        <w:t xml:space="preserve">Și cadavrele zac peste tot</w:t>
        <w:br/>
        <w:t xml:space="preserve"/>
        <w:br/>
        <w:t xml:space="preserve">În timp ce liderii zâmbesc</w:t>
        <w:br/>
        <w:t xml:space="preserve">în spatele măștii lor</w:t>
        <w:br/>
        <w:t xml:space="preserve">Adevărul s-a pierdut</w:t>
        <w:br/>
        <w:t xml:space="preserve">Noi îngenunchem și ne rugăm</w:t>
        <w:br/>
        <w:t xml:space="preserve"/>
        <w:br/>
        <w:t xml:space="preserve">O, Doamne, Tu vezi</w:t>
        <w:br/>
        <w:t xml:space="preserve">Diavolul este aproape</w:t>
        <w:br/>
        <w:t xml:space="preserve">Tânjim după libertate</w:t>
        <w:br/>
        <w:t xml:space="preserve">Tânjim după acasă</w:t>
        <w:br/>
        <w:t xml:space="preserve"/>
        <w:br/>
        <w:t xml:space="preserve">O, acesta este timpul</w:t>
        <w:br/>
        <w:t xml:space="preserve">în care Slava Ta va străluci.</w:t>
        <w:br/>
        <w:t xml:space="preserve">Pretindem pacea</w:t>
        <w:br/>
        <w:t xml:space="preserve">în Tine suntem uniți.</w:t>
        <w:br/>
        <w:t xml:space="preserve"/>
        <w:br/>
        <w:t xml:space="preserve">Distragerea hrănește</w:t>
        <w:br/>
        <w:t xml:space="preserve">mințile dependente</w:t>
        <w:br/>
        <w:t xml:space="preserve">Dragoste care sângerează</w:t>
        <w:br/>
        <w:t xml:space="preserve">Viața e plină de minciuni.</w:t>
        <w:br/>
        <w:t xml:space="preserve"/>
        <w:br/>
        <w:t xml:space="preserve">Aceste morminte digitale</w:t>
        <w:br/>
        <w:t xml:space="preserve">sunt und labirint deschis</w:t>
        <w:br/>
        <w:t xml:space="preserve">Dar încă mai există speranță</w:t>
        <w:br/>
        <w:t xml:space="preserve">că vom trăi zile mai bune</w:t>
        <w:br/>
        <w:t xml:space="preserve"/>
        <w:br/>
        <w:t xml:space="preserve">O, Doamne, Tu vezi</w:t>
        <w:br/>
        <w:t xml:space="preserve">Diavolul este aproape</w:t>
        <w:br/>
        <w:t xml:space="preserve">Tânjim după libertate</w:t>
        <w:br/>
        <w:t xml:space="preserve">Tânjim după acasă</w:t>
        <w:br/>
        <w:t xml:space="preserve"/>
        <w:br/>
        <w:t xml:space="preserve">O, acesta este timpul</w:t>
        <w:br/>
        <w:t xml:space="preserve">în care Slava Ta va străluci.</w:t>
        <w:br/>
        <w:t xml:space="preserve">Pretindem pacea</w:t>
        <w:br/>
        <w:t xml:space="preserve">și în Tine suntem uniți.</w:t>
        <w:br/>
        <w:t xml:space="preserve"/>
        <w:br/>
        <w:t xml:space="preserve">O, Doamne, Tu vezi</w:t>
        <w:br/>
        <w:t xml:space="preserve">Diavolul este aproape</w:t>
        <w:br/>
        <w:t xml:space="preserve">Tânjim după libertate</w:t>
        <w:br/>
        <w:t xml:space="preserve">Tânjim după acasă</w:t>
        <w:br/>
        <w:t xml:space="preserve"/>
        <w:br/>
        <w:t xml:space="preserve">O, acesta este timpul</w:t>
        <w:br/>
        <w:t xml:space="preserve">în care Slava Ta va străluci.</w:t>
        <w:br/>
        <w:t xml:space="preserve">Pretindem pacea</w:t>
        <w:br/>
        <w:t xml:space="preserve"/>
        <w:br/>
        <w:t xml:space="preserve">Și în Tine suntem uniți.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N.M.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 ---------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A 22a AZK ♫ Doamne Tu vezi ♫de la Noah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www.kla.tv/39724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09.12.2025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9724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972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A 22a AZK ♫ Doamne Tu vezi ♫de la Noah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