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ff9ec16c8c430e" /><Relationship Type="http://schemas.openxmlformats.org/package/2006/relationships/metadata/core-properties" Target="/package/services/metadata/core-properties/149b20a4cc8d431aa1c1f2929427c609.psmdcp" Id="Reee91e57ed1f4c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Chancengleichheit?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Verehrte Damen und Herren.
Die 300 Reichsten dieser
Welt besitzen heute gleich viel
Vermögen wie die ärmere Hälfte
der Menschheit, das sind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Damen und Herren.</w:t>
        <w:br/>
        <w:t xml:space="preserve">Die 300 Reichsten dieser</w:t>
        <w:br/>
        <w:t xml:space="preserve">Welt besitzen heute gleich viel</w:t>
        <w:br/>
        <w:t xml:space="preserve">Vermögen wie die ärmere Hälfte</w:t>
        <w:br/>
        <w:t xml:space="preserve">der Menschheit, das sind 3 Milliarden,</w:t>
        <w:br/>
        <w:t xml:space="preserve">zusammen. Thomas Piketty</w:t>
        <w:br/>
        <w:t xml:space="preserve">zeigt auf, dass die Vermögensungleichheit</w:t>
        <w:br/>
        <w:t xml:space="preserve">die verhängnisvolle</w:t>
        <w:br/>
        <w:t xml:space="preserve">Eigenschaft hat, sich automatisch</w:t>
        <w:br/>
        <w:t xml:space="preserve">weiter zu verstärken. Nach</w:t>
        <w:br/>
        <w:t xml:space="preserve">Piketty entwickelt sich die</w:t>
        <w:br/>
        <w:t xml:space="preserve">Gesellschaft zunehmend in</w:t>
        <w:br/>
        <w:t xml:space="preserve">Richtung „Oligarchie“, das meint eine </w:t>
        <w:br/>
        <w:t xml:space="preserve">Staatsform, in der eine kleine Gruppe die</w:t>
        <w:br/>
        <w:t xml:space="preserve">politische Herrschaft ausübt, wobei</w:t>
        <w:br/>
        <w:t xml:space="preserve">diese von Erbdynastien wie z.B.</w:t>
        <w:br/>
        <w:t xml:space="preserve">den Rockefellers beherrscht</w:t>
        <w:br/>
        <w:t xml:space="preserve">wird. Soziale Gerechtigkeit</w:t>
        <w:br/>
        <w:t xml:space="preserve">und Chancengleichheit seien</w:t>
        <w:br/>
        <w:t xml:space="preserve">deshalb illusorisch. Der “normale</w:t>
        <w:br/>
        <w:t xml:space="preserve">Bürger” hingegen ist</w:t>
        <w:br/>
        <w:t xml:space="preserve">darauf getrimmt, die angebliche</w:t>
        <w:br/>
        <w:t xml:space="preserve">Chancengleichheit</w:t>
        <w:br/>
        <w:t xml:space="preserve">sogar freiwillig aus eigener</w:t>
        <w:br/>
        <w:t xml:space="preserve">Tasche zu bezahlen. Die</w:t>
        <w:br/>
        <w:t xml:space="preserve">Sozialabgaben erreichen in</w:t>
        <w:br/>
        <w:t xml:space="preserve">Deutschland inzwischen für</w:t>
        <w:br/>
        <w:t xml:space="preserve">den Arbeitgeber etwa 32 % und</w:t>
        <w:br/>
        <w:t xml:space="preserve">für den Arbeitnehmer nochmal</w:t>
        <w:br/>
        <w:t xml:space="preserve">ca. 30 %. So bezahlen wir selbst</w:t>
        <w:br/>
        <w:t xml:space="preserve">die Augenwischerei der sogenannten</w:t>
        <w:br/>
        <w:t xml:space="preserve">Chancengleichheit.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Beiblatt der Berner Zeitung</w:t>
        <w:rPr>
          <w:sz w:val="18"/>
        </w:rPr>
      </w:r>
      <w:r w:rsidR="0026191C">
        <w:rPr/>
        <w:br/>
      </w:r>
      <w:r w:rsidRPr="002B28C8">
        <w:t xml:space="preserve">„Das Magazin“ Nr. 22 vom 31.5.2014: „Vorwärts ins 19. Jahrhundert“</w:t>
        <w:rPr>
          <w:sz w:val="18"/>
        </w:rPr>
      </w:r>
      <w:r w:rsidR="0026191C">
        <w:rPr/>
        <w:br/>
      </w:r>
      <w:hyperlink w:history="true" r:id="rId21">
        <w:r w:rsidRPr="00F24C6F">
          <w:rPr>
            <w:rStyle w:val="Hyperlink"/>
          </w:rPr>
          <w:rPr>
            <w:sz w:val="18"/>
          </w:rPr>
          <w:t>http://leserbriefe.dasmagazin.ch/page/2/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Chancengleichheit?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eserbriefe.dasmagazin.ch/page/2/"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Chancengleichheit?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