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f38787a1b943cc" /><Relationship Type="http://schemas.openxmlformats.org/package/2006/relationships/metadata/core-properties" Target="/package/services/metadata/core-properties/8ca872e42308472b8bbd83dc957ad92e.psmdcp" Id="Recab005653fc43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WOT verletzt Menschenrechte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„Web of Trust“ erweist sich tatsächlich als „World of Terror“ für all jene, die nicht ins System passen und öffentlich als Abweichler...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„Web of Trust“ erweist sich tatsächlich als „World of Terror“ für all jene, die nicht ins System passen und öffentlich als Abweichler, unseriöse Verschwörungstheoretiker oder pauschal als „gefährlich“ gebrandmarkt werden. Personenbezogene Web-Seiten auf diese Weise zu diskreditieren, widerspricht jedoch klar den Menschenrechten. In der EU-Grundrechte-Charta heißt es beispielsweise in Artikel 3: „Jede Person hat das Recht auf körperliche und geistige Unversehrtheit.“ Artikel 11: „Jede Person hat das Recht auf freie Meinungsäußerung. Dieses Recht schließt die Meinungsfreiheit und die Freiheit ein, Informationen und Ideen ohne behördliche Eingriffe (…) zu empfangen und weiterzugeben. Die Freiheit der Medien und ihre Pluralität werden geachtet.“ Kein Platz also für systematische Verleumdung und Zensur.</w:t>
        <w:br/>
        <w:t xml:space="preserve"/>
        <w:br/>
        <w:t xml:space="preserve">„Sonderbar, dass es den</w:t>
        <w:br/>
        <w:t xml:space="preserve">Wölfen immer wieder gelingt,</w:t>
        <w:br/>
        <w:t xml:space="preserve">die Welt von der</w:t>
        <w:br/>
        <w:t xml:space="preserve">Gefährlichkeit der Schafe zu</w:t>
        <w:br/>
        <w:t xml:space="preserve">überzeugen.“</w:t>
        <w:br/>
        <w:t xml:space="preserve">Austin O ́Malley (1858-1932)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„Charta der Grundrechte der Europäischen Union“          </w:t>
        <w:rPr>
          <w:sz w:val="18"/>
        </w:rPr>
      </w:r>
      <w:hyperlink w:history="true" r:id="rId21">
        <w:r w:rsidRPr="00F24C6F">
          <w:rPr>
            <w:rStyle w:val="Hyperlink"/>
          </w:rPr>
          <w:rPr>
            <w:sz w:val="18"/>
          </w:rPr>
          <w:t>http://www.europarl.europa.eu/charter/pdf/text_de.pdf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WOT verletzt Menschenrechte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parl.europa.eu/charter/pdf/text_de.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WOT verletzt Menschenrechte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