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bin" ContentType="image/png"/>
  <Default Extension="psmdcp"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stylesWithEffects.xml" ContentType="application/vnd.ms-word.stylesWithEffects+xml"/>
  <Override PartName="/word/endnotes.xml" ContentType="application/vnd.openxmlformats-officedocument.wordprocessingml.endnotes+xml"/>
  <Override PartName="/word/header1.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otnotes.xml" ContentType="application/vnd.openxmlformats-officedocument.wordprocessingml.footnotes+xml"/>
  <Override PartName="/word/webSettings.xml" ContentType="application/vnd.openxmlformats-officedocument.wordprocessingml.webSettings+xml"/>
  <Override PartName="/word/fontTable.xml" ContentType="application/vnd.openxmlformats-officedocument.wordprocessingml.fontTable+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officeDocument/2006/relationships/officeDocument" Target="/word/document.xml" Id="R6b63bf81f3ce4b81" /><Relationship Type="http://schemas.openxmlformats.org/package/2006/relationships/metadata/core-properties" Target="/package/services/metadata/core-properties/4c4b509e719d4159b3467457e7b1a2c0.psmdcp" Id="R9097646e54434828" /></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C534E6" w:rsidR="00E81F93" w:rsidP="00F67ED1" w:rsidRDefault="000023E9">
      <w:pPr>
        <w:widowControl w:val="false"/>
        <w:spacing w:after="120"/>
        <w:rPr>
          <w:rFonts w:ascii="Arial" w:hAnsi="Arial" w:cs="Arial"/>
        </w:rPr>
      </w:pPr>
      <w:r>
        <w:rPr>
          <w:rFonts w:ascii="Arial" w:hAnsi="Arial" w:cs="Arial"/>
          <w:noProof/>
          <w:sz w:val="18"/>
          <w:szCs w:val="18"/>
        </w:rPr>
        <w:drawing>
          <wp:anchor distT="0" distB="71755" distL="144145" distR="114300" simplePos="0" relativeHeight="251662336" behindDoc="1" locked="0" layoutInCell="1" allowOverlap="1" wp14:editId="4DDE082A" wp14:anchorId="6C1A73EC">
            <wp:simplePos x="0" y="0"/>
            <wp:positionH relativeFrom="column">
              <wp:posOffset>3554095</wp:posOffset>
            </wp:positionH>
            <wp:positionV relativeFrom="paragraph">
              <wp:posOffset>-10795</wp:posOffset>
            </wp:positionV>
            <wp:extent cx="2228400" cy="1382400"/>
            <wp:effectExtent l="0" t="0" r="635" b="8255"/>
            <wp:wrapSquare wrapText="left"/>
            <wp:docPr id="5" name="Grafik 5" descr="C:\Users\W\3WAR\2P\1IT\_git\SW\KlaTvVideoDocGen.git\KlaTvVideoDocGen\Material\MissingVideoImage.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3WAR\2P\1IT\_git\SW\KlaTvVideoDocGen.git\KlaTvVideoDocGen\Material\MissingVideoIma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400" cy="1382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4E6" w:rsidR="00E81F93">
        <w:rPr>
          <w:rStyle w:val="texttitelsize"/>
          <w:rFonts w:ascii="Arial" w:hAnsi="Arial" w:cs="Arial"/>
          <w:color w:val="808080" w:themeColor="background1" w:themeShade="80"/>
          <w:sz w:val="20"/>
        </w:rPr>
        <w:t/>
      </w:r>
      <w:r w:rsidRPr="00C534E6" w:rsidR="00E81F93">
        <w:rPr>
          <w:rFonts w:ascii="Arial" w:hAnsi="Arial" w:cs="Arial"/>
          <w:noProof/>
        </w:rPr>
        <w:t xml:space="preserve"> </w:t>
      </w:r>
    </w:p>
    <w:p w:rsidRPr="00C534E6" w:rsidR="00101F75" w:rsidP="00F67ED1" w:rsidRDefault="00F67ED1">
      <w:pPr>
        <w:widowControl w:val="false"/>
        <w:spacing w:after="160"/>
        <w:rPr>
          <w:rStyle w:val="texttitelsize"/>
          <w:rFonts w:ascii="Arial" w:hAnsi="Arial" w:cs="Arial"/>
          <w:sz w:val="44"/>
          <w:szCs w:val="44"/>
        </w:rPr>
      </w:pPr>
      <w:r w:rsidRPr="00F67ED1">
        <w:rPr>
          <w:rFonts w:ascii="Arial" w:hAnsi="Arial" w:cs="Arial"/>
          <w:noProof/>
        </w:rPr>
        <w:drawing>
          <wp:anchor distT="0" distB="0" distL="114300" distR="114300" simplePos="0" relativeHeight="251658240" behindDoc="1" locked="0" layoutInCell="1" allowOverlap="1" wp14:editId="7627B367" wp14:anchorId="20EB18EB">
            <wp:simplePos x="0" y="0"/>
            <wp:positionH relativeFrom="column">
              <wp:posOffset>-542607</wp:posOffset>
            </wp:positionH>
            <wp:positionV relativeFrom="paragraph">
              <wp:posOffset>-254317</wp:posOffset>
            </wp:positionV>
            <wp:extent cx="381000" cy="381000"/>
            <wp:effectExtent l="0" t="0" r="0" b="0"/>
            <wp:wrapTight wrapText="bothSides">
              <wp:wrapPolygon edited="0">
                <wp:start x="0" y="0"/>
                <wp:lineTo x="0" y="20520"/>
                <wp:lineTo x="20520" y="20520"/>
                <wp:lineTo x="20520" y="0"/>
                <wp:lineTo x="0" y="0"/>
              </wp:wrapPolygon>
            </wp:wrapTight>
            <wp:docPr id="2" name="Grafik 2" descr="C:\Temp\QR-Code_klaTv_c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QR-Code_klaTv_cu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34E6" w:rsidR="00B9284F">
        <w:rPr>
          <w:rStyle w:val="texttitelsize"/>
          <w:rFonts w:ascii="Arial" w:hAnsi="Arial" w:cs="Arial"/>
          <w:sz w:val="44"/>
          <w:szCs w:val="44"/>
        </w:rPr>
        <w:t>Причина «синдрома внезапной детской смерти» раскрыта?</w:t>
      </w:r>
    </w:p>
    <w:p w:rsidRPr="00C534E6" w:rsidR="00A71903" w:rsidP="00F67ED1" w:rsidRDefault="00A71903">
      <w:pPr>
        <w:widowControl w:val="false"/>
        <w:spacing w:after="160"/>
        <w:rPr>
          <w:rStyle w:val="edit"/>
          <w:rFonts w:ascii="Arial" w:hAnsi="Arial" w:cs="Arial"/>
          <w:b/>
          <w:color w:val="000000"/>
        </w:rPr>
      </w:pPr>
      <w:r w:rsidRPr="00C534E6">
        <w:rPr>
          <w:rStyle w:val="edit"/>
          <w:rFonts w:ascii="Arial" w:hAnsi="Arial" w:cs="Arial"/>
          <w:b/>
          <w:color w:val="000000"/>
        </w:rPr>
        <w:t>Сотрудница правоохранительных органов США сообщает о заметных временных связях между вакцинацией и смертями младенцев. Исследователь Нил Z. Миллер также обнаружил при анализе данных VAERS значительный всплеск зарегистрированных случаев смерти младенцев вскоре после прививок. Почему исчезают критические исследования? Почему вред от вакцинации так мало обсуждается публично? И какое влияние оказывают экономические интересы на СМИ и сообщения о здравоохранении?</w:t>
      </w:r>
    </w:p>
    <w:p w:rsidRPr="00C534E6" w:rsidR="00F67ED1" w:rsidP="00F67ED1" w:rsidRDefault="00F67ED1">
      <w:pPr>
        <w:spacing w:after="160"/>
        <w:rPr>
          <w:rStyle w:val="edit"/>
          <w:rFonts w:ascii="Arial" w:hAnsi="Arial" w:cs="Arial"/>
          <w:color w:val="000000"/>
        </w:rPr>
      </w:pPr>
      <w:r w:rsidRPr="00C534E6">
        <w:rPr>
          <w:rStyle w:val="edit"/>
          <w:rFonts w:ascii="Arial" w:hAnsi="Arial" w:cs="Arial"/>
          <w:color w:val="000000"/>
        </w:rPr>
        <w:t xml:space="preserve">Заявление сотрудницы криминальной полиции США может подтвердить то, на что давно указывают критики вакцинации. Речь идёт о СВДС (SIDS), что означает «синдром внезапной детской смерти».</w:t>
        <w:br/>
        <w:t xml:space="preserve"/>
        <w:br/>
        <w:t xml:space="preserve">Она сообщает, что вместе с мужем они сделали пугающее открытие при расследовании случаев СВДС. Её выводы подтверждают взаимосвязи, о которых 15.07.2026 сообщил независимый журналист Торстен Энгельбрехт. Энгельбрехт подробно разобрал описанные наблюдения. О чём идёт речь?</w:t>
        <w:br/>
        <w:t xml:space="preserve"/>
        <w:br/>
        <w:t xml:space="preserve">Полицейская из крупного города США рассказывает о своём опыте расследования около 250 случаев СВДС в период с 2003 по 2010 год. Для обеспечения собственной безопасности и безопасности своей семьи она выступает под именем «Дженнифер». При анализе полицейских отчётов Дженнифер и её муж заметили следующую повторяющуюся закономерность:</w:t>
        <w:br/>
        <w:t xml:space="preserve"/>
        <w:br/>
        <w:t xml:space="preserve">Около половины пострадавших младенцев скончались в течение 48 часов после вакцинации, некоторые — в течение недели. Особенно чётко эта закономерность прослеживалась у шестимесячных детей. Примечательно то, что эта информация не фигурировала в отчётах о вскрытии судебно-медицинских экспертов, хотя в полицейских отчётах было упоминание о вакцинации.</w:t>
        <w:br/>
        <w:t xml:space="preserve">Также ИХ педиатр в личной беседе подтвердил возможные риски вакцинации и рассказал о подобном опыте в своей практике.</w:t>
        <w:br/>
        <w:t xml:space="preserve">По его опыту, также примечательна разница в медицинских картах пациентов.</w:t>
        <w:br/>
        <w:t xml:space="preserve">В то время как у невакцинированных детей обычно задокументировано лишь несколько визитов к врачу и немного процедур, в картах вакцинированных детей обнаруживается значительно больше медицинских записей.</w:t>
        <w:br/>
        <w:t xml:space="preserve"/>
        <w:br/>
        <w:t xml:space="preserve">По его словам, также имело место указание от Американской академии педиатрии переключать внимание при подозрении на реакцию на вакцину и представлять это как случайность.</w:t>
        <w:br/>
        <w:t xml:space="preserve"/>
        <w:br/>
        <w:t xml:space="preserve">Подобные закономерности были обнаружены и в исследовании научного сотрудника Нила З. Миллера. Для своего исследования, опубликованного в 2021 году в специализированном журнале Toxicology Reports, Миллер проанализировал данные VAERS за период с 1990 по 2019 год, то есть почти за 30 лет. Позже исследование было удалено из журнала.</w:t>
        <w:br/>
        <w:t xml:space="preserve">VAERS расшифровывается как Vaccine Adverse Event Reporting System - американская система регистрации, в которой фиксируются случаи ухудшения состояния здоровья, возникшие после вакцинации.</w:t>
        <w:br/>
        <w:t xml:space="preserve">Миллер изучил 2605 зарегистрированных случаев смерти младенцев в возрасте до одного года,</w:t>
        <w:br/>
        <w:t xml:space="preserve">которые произошли в течение 60 дней после вакцинации. При этом выявилась чёткая временная связь: 58 процентов зарегистрированных смертей произошли в течение первых трех дней после вакцинации. В течение семи дней этот показатель достиг уже 78,3 процента.</w:t>
        <w:br/>
        <w:t xml:space="preserve"/>
        <w:br/>
        <w:t xml:space="preserve">Миллер дословно: «Основные выводы моей работы — временная концентрация смертей непосредственно в период после вакцинации, исторический рост показателей СВДС (синдрома внезапной детской смерти) после введения национальных кампаний по вакцинации, полный обзор литературы — остаются неопровержимыми. Никто не ознакомился с данными. Работу просто заставили исчезнуть».</w:t>
        <w:br/>
        <w:t xml:space="preserve"> </w:t>
        <w:br/>
        <w:t xml:space="preserve">В специализированном журнале Human &amp; Experimental Toxicology была опубликована научная работа Миллера. Она показывает, что по мере увеличения числа вакцинированных детей в США статистически значимо возрастает количество случаев госпитализации и летальных исходов.</w:t>
        <w:br/>
        <w:t xml:space="preserve">Именно в США, где расходы на здравоохранение на душу населения выше и где вакцинируют больше, чем где-либо ещё в мире, и в то же время в стране с самым высоким уровнем детской смертности, в отношении внезапной смерти младенцев, в частности, прямо говорится:</w:t>
        <w:br/>
        <w:t xml:space="preserve"/>
        <w:br/>
        <w:t xml:space="preserve">«До введения современных программ вакцинации „синдром внезапной детской смерти“ встречался так редко, что он не фигурировал в статистике младенческой смертности».</w:t>
        <w:br/>
        <w:t xml:space="preserve">1960-е годы в США стали периодом значительного расширения и институционализации программ детской вакцинации. Критики указывают на то, что диагноз СВДМ был введён только в конце 1960-х годов, в то время, когда программы вакцинации всё больше расширялись.</w:t>
        <w:br/>
        <w:t xml:space="preserve">Обвинение исследователя Нила З. Миллера имеет серьёзный вес:</w:t>
        <w:br/>
        <w:t xml:space="preserve"> </w:t>
        <w:br/>
        <w:t xml:space="preserve">«Никто не разбирался с данными. Работу просто заставили исчезнуть».</w:t>
        <w:br/>
        <w:t xml:space="preserve"/>
        <w:br/>
        <w:t xml:space="preserve">О серьёзных побочных эффектах вакцинации и смертях, связанных с коронавирусными мРНК-инъекциями, почти не упоминается в официальных СМИ, и об этом говорят исключительно независимые и свободные учёные.</w:t>
        <w:br/>
        <w:t xml:space="preserve">Официальные органы молчат, прокуроры и судьи бездействуют, и соответствующие меры не принимаются.</w:t>
        <w:br/>
        <w:t xml:space="preserve"/>
        <w:br/>
        <w:t xml:space="preserve">Это не случайность, как годами указывает Kla.TV и другие свободные просветители.</w:t>
        <w:br/>
        <w:t xml:space="preserve">Во многих компаниях, котирующихся на бирже, и, конечно, в крупных фармацевтических концернах основными акционерами являются BlackRock, Vanguard и State Street.</w:t>
        <w:br/>
        <w:t xml:space="preserve">Также важно знать, что BlackRock и Vanguard — обе организации основанные масонскими кругами высоких степеней, владеют долями почти в 90 процентах американских СМИ и также имеют доли во многих международных медиа.</w:t>
        <w:br/>
        <w:t xml:space="preserve">Тесная дьявольская сеть экономических интересов и осуществляемой цензуры делает независимую и честную репортажную деятельность почти невозможной.</w:t>
        <w:br/>
        <w:t xml:space="preserve"> </w:t>
        <w:br/>
        <w:t xml:space="preserve">И именно поэтому независимая просветительская работа свободных журналистов незаменима. Но чтобы эти факты стали достоянием общественности, мы все — каждый из нас — должны неустанно распространять их.</w:t>
        <w:br/>
        <w:t xml:space="preserve">Кроме того, по этой теме есть отличная возможность сделать что-то самому. Независимо от того, пострадали ли вы лично или знаете об осложнениях или смертях в вашем окружении: все последствия вакцинации должны быть внесены в свободную энциклопедию альтернативных мнений. [www.vetopedia.org]</w:t>
        <w:br/>
        <w:t xml:space="preserve">Этот всемирный сборник всех зафиксированных случаев ущерба незаменим для объединения доказательных альтернативных мнений.</w:t>
        <w:br/>
        <w:t xml:space="preserve"/>
        <w:br/>
        <w:t xml:space="preserve">Вы стали свидетелем последствий вакцинации?</w:t>
        <w:br/>
        <w:t xml:space="preserve">Зафиксируйте это на Vetopedia, в свободной энциклопедии альтернативных мнений!</w:t>
        <w:br/>
        <w:t xml:space="preserve">www.vetopedia.org</w:t>
      </w:r>
    </w:p>
    <w:p w:rsidRPr="00C534E6" w:rsidR="00F67ED1" w:rsidP="00F67ED1" w:rsidRDefault="00F67ED1">
      <w:pPr>
        <w:spacing w:after="160"/>
        <w:rPr>
          <w:rStyle w:val="edit"/>
          <w:rFonts w:ascii="Arial" w:hAnsi="Arial" w:cs="Arial"/>
          <w:b/>
          <w:color w:val="000000"/>
          <w:sz w:val="18"/>
          <w:szCs w:val="18"/>
        </w:rPr>
      </w:pPr>
      <w:r w:rsidRPr="00C534E6">
        <w:rPr>
          <w:rStyle w:val="edit"/>
          <w:rFonts w:ascii="Arial" w:hAnsi="Arial" w:cs="Arial"/>
          <w:b/>
          <w:color w:val="000000"/>
          <w:sz w:val="18"/>
          <w:szCs w:val="18"/>
        </w:rPr>
        <w:t>от an</w:t>
      </w:r>
    </w:p>
    <w:p w:rsidRPr="00C534E6" w:rsidR="00F202F1" w:rsidP="00C534E6" w:rsidRDefault="00F202F1">
      <w:pPr>
        <w:keepNext/>
        <w:keepLines/>
        <w:pBdr>
          <w:top w:val="single" w:color="365F91" w:themeColor="accent1" w:themeShade="BF" w:sz="6" w:space="8"/>
        </w:pBdr>
        <w:spacing w:after="160"/>
        <w:rPr>
          <w:rStyle w:val="edit"/>
          <w:rFonts w:ascii="Arial" w:hAnsi="Arial" w:cs="Arial"/>
          <w:b/>
          <w:color w:val="000000"/>
          <w:szCs w:val="18"/>
        </w:rPr>
      </w:pPr>
      <w:r w:rsidRPr="00C534E6">
        <w:rPr>
          <w:rStyle w:val="edit"/>
          <w:rFonts w:ascii="Arial" w:hAnsi="Arial" w:cs="Arial"/>
          <w:b/>
          <w:color w:val="000000"/>
          <w:szCs w:val="18"/>
        </w:rPr>
        <w:t>Источники:</w:t>
      </w:r>
    </w:p>
    <w:p w:rsidRPr="00C534E6" w:rsidR="00F202F1" w:rsidP="00C534E6" w:rsidRDefault="00F202F1">
      <w:pPr>
        <w:spacing w:after="160"/>
        <w:rPr>
          <w:rStyle w:val="edit"/>
          <w:rFonts w:ascii="Arial" w:hAnsi="Arial" w:cs="Arial"/>
          <w:color w:val="000000"/>
          <w:szCs w:val="18"/>
        </w:rPr>
      </w:pPr>
      <w:r w:rsidRPr="002B28C8">
        <w:t xml:space="preserve">Creative Commons Lizenzen</w:t>
        <w:rPr>
          <w:sz w:val="18"/>
        </w:rPr>
      </w:r>
      <w:r w:rsidR="0026191C">
        <w:rPr/>
        <w:br/>
      </w:r>
      <w:hyperlink w:history="true" r:id="Rd8f290afaf03463d">
        <w:r w:rsidRPr="00F24C6F">
          <w:rPr>
            <w:rStyle w:val="Hyperlink"/>
          </w:rPr>
          <w:rPr>
            <w:sz w:val="18"/>
          </w:rPr>
          <w:t>https://www.creativecommons.org/licenses/</w:t>
        </w:r>
      </w:hyperlink>
      <w:r w:rsidR="0026191C">
        <w:rPr/>
        <w:br/>
      </w:r>
      <w:r w:rsidRPr="002B28C8">
        <w:t xml:space="preserve">Ticket:</w:t>
        <w:rPr>
          <w:sz w:val="18"/>
        </w:rPr>
      </w:r>
      <w:r w:rsidR="0026191C">
        <w:rPr/>
        <w:br/>
      </w:r>
      <w:r w:rsidRPr="002B28C8">
        <w:t xml:space="preserve">SE-1935</w:t>
        <w:rPr>
          <w:sz w:val="18"/>
        </w:rPr>
      </w:r>
      <w:r w:rsidR="0026191C">
        <w:rPr/>
        <w:br/>
      </w:r>
      <w:r w:rsidR="0026191C">
        <w:rPr/>
        <w:br/>
      </w:r>
      <w:r w:rsidRPr="002B28C8">
        <w:t xml:space="preserve">Статья независимого журналиста Т. Энгельбрехта: Половина случаев синдрома внезапной детской смерти происходит в течение 48 часов после вакцинации:</w:t>
        <w:rPr>
          <w:sz w:val="18"/>
        </w:rPr>
      </w:r>
      <w:r w:rsidR="0026191C">
        <w:rPr/>
        <w:br/>
      </w:r>
      <w:hyperlink w:history="true" r:id="R5c7cf86a14b9419e">
        <w:r w:rsidRPr="00F24C6F">
          <w:rPr>
            <w:rStyle w:val="Hyperlink"/>
          </w:rPr>
          <w:rPr>
            <w:sz w:val="18"/>
          </w:rPr>
          <w:t>https://transition-news.org/us-kriminalbeamtin-halfte-der-falle-von-plotzlichem-kindstod-innerhalb-von-48</w:t>
        </w:r>
      </w:hyperlink>
      <w:r w:rsidR="0026191C">
        <w:rPr/>
        <w:br/>
      </w:r>
      <w:r w:rsidR="0026191C">
        <w:rPr/>
        <w:br/>
      </w:r>
      <w:r w:rsidRPr="002B28C8">
        <w:t xml:space="preserve">Отчет организации «Children’s Health Defense»:</w:t>
        <w:rPr>
          <w:sz w:val="18"/>
        </w:rPr>
      </w:r>
      <w:r w:rsidR="0026191C">
        <w:rPr/>
        <w:br/>
      </w:r>
      <w:hyperlink w:history="true" r:id="R5a3c5926404843e0">
        <w:r w:rsidRPr="00F24C6F">
          <w:rPr>
            <w:rStyle w:val="Hyperlink"/>
          </w:rPr>
          <w:rPr>
            <w:sz w:val="18"/>
          </w:rPr>
          <w:t>https://childrenshealthdefense.org/defender/half-sids-cases-occurred-within-48-hours-vaccination-former-police-detective/</w:t>
        </w:r>
      </w:hyperlink>
      <w:r w:rsidR="0026191C">
        <w:rPr/>
        <w:br/>
      </w:r>
      <w:r w:rsidR="0026191C">
        <w:rPr/>
        <w:br/>
      </w:r>
      <w:r w:rsidRPr="002B28C8">
        <w:t xml:space="preserve">Vetopedia:</w:t>
        <w:rPr>
          <w:sz w:val="18"/>
        </w:rPr>
      </w:r>
      <w:r w:rsidR="0026191C">
        <w:rPr/>
        <w:br/>
      </w:r>
      <w:hyperlink w:history="true" r:id="R96f33912ae354099">
        <w:r w:rsidRPr="00F24C6F">
          <w:rPr>
            <w:rStyle w:val="Hyperlink"/>
          </w:rPr>
          <w:rPr>
            <w:sz w:val="18"/>
          </w:rPr>
          <w:t>https://vetopedia.org/de/freimaurer/list/101</w:t>
        </w:r>
      </w:hyperlink>
      <w:r w:rsidR="0026191C">
        <w:rPr/>
        <w:br/>
      </w:r>
      <w:r w:rsidR="0026191C">
        <w:rPr/>
        <w:br/>
      </w:r>
      <w:r w:rsidRPr="002B28C8">
        <w:t xml:space="preserve">Википедия — Система регистрации побочных эффектов вакцин</w:t>
        <w:rPr>
          <w:sz w:val="18"/>
        </w:rPr>
      </w:r>
      <w:r w:rsidR="0026191C">
        <w:rPr/>
        <w:br/>
      </w:r>
      <w:hyperlink w:history="true" r:id="R0266362ac22347a5">
        <w:r w:rsidRPr="00F24C6F">
          <w:rPr>
            <w:rStyle w:val="Hyperlink"/>
          </w:rPr>
          <w:rPr>
            <w:sz w:val="18"/>
          </w:rPr>
          <w:t>https://de.wikipedia.org/wiki/Vaccine_Adverse_Event_Reporting_System</w:t>
        </w:r>
      </w:hyperlink>
      <w:r w:rsidR="0026191C">
        <w:rPr/>
        <w:br/>
      </w:r>
      <w:r w:rsidR="0026191C">
        <w:rPr/>
        <w:br/>
      </w:r>
      <w:r w:rsidRPr="002B28C8">
        <w:t xml:space="preserve">WiFi-Sensing — «Большой брат» Джорджа Оруэлла стал реальностью:</w:t>
        <w:rPr>
          <w:sz w:val="18"/>
        </w:rPr>
      </w:r>
      <w:r w:rsidR="0026191C">
        <w:rPr/>
        <w:br/>
      </w:r>
      <w:hyperlink w:history="true" r:id="R61deea8baaf84b44">
        <w:r w:rsidRPr="00F24C6F">
          <w:rPr>
            <w:rStyle w:val="Hyperlink"/>
          </w:rPr>
          <w:rPr>
            <w:sz w:val="18"/>
          </w:rPr>
          <w:t>https://www.kla.tv/42587</w:t>
        </w:r>
      </w:hyperlink>
      <w:r w:rsidR="0026191C">
        <w:rPr/>
        <w:br/>
      </w:r>
      <w:r w:rsidR="0026191C">
        <w:rPr/>
        <w:br/>
      </w:r>
      <w:r w:rsidRPr="002B28C8">
        <w:t xml:space="preserve">Вакцины и синдром внезапной детской смерти: анализ данных базы VAERS за 1990–2019 годы и обзор медицинской литературы:</w:t>
        <w:rPr>
          <w:sz w:val="18"/>
        </w:rPr>
      </w:r>
      <w:r w:rsidR="0026191C">
        <w:rPr/>
        <w:br/>
      </w:r>
      <w:hyperlink w:history="true" r:id="R93765d681dc74b54">
        <w:r w:rsidRPr="00F24C6F">
          <w:rPr>
            <w:rStyle w:val="Hyperlink"/>
          </w:rPr>
          <w:rPr>
            <w:sz w:val="18"/>
          </w:rPr>
          <w:t>https://pubmed.ncbi.nlm.nih.gov/34258234/</w:t>
        </w:r>
      </w:hyperlink>
      <w:r w:rsidR="0026191C">
        <w:rPr/>
        <w:br/>
      </w:r>
      <w:r w:rsidR="0026191C">
        <w:rPr/>
        <w:br/>
      </w:r>
      <w:r w:rsidRPr="002B28C8">
        <w:t xml:space="preserve">УДАЛЕНО: Вакцины и синдром внезапной детской смерти: анализ данных базы VAERS за 1990–2019 гг. и обзор медицинской литературы:</w:t>
        <w:rPr>
          <w:sz w:val="18"/>
        </w:rPr>
      </w:r>
      <w:r w:rsidR="0026191C">
        <w:rPr/>
        <w:br/>
      </w:r>
      <w:hyperlink w:history="true" r:id="Rc77b7e224988485d">
        <w:r w:rsidRPr="00F24C6F">
          <w:rPr>
            <w:rStyle w:val="Hyperlink"/>
          </w:rPr>
          <w:rPr>
            <w:sz w:val="18"/>
          </w:rPr>
          <w:t>https://www.sciencedirect.com/science/article/pii/S2214750021001268</w:t>
        </w:r>
      </w:hyperlink>
      <w:r w:rsidR="0026191C">
        <w:rPr/>
        <w:br/>
      </w:r>
      <w:r w:rsidR="0026191C">
        <w:rPr/>
        <w:br/>
      </w:r>
      <w:r w:rsidRPr="002B28C8">
        <w:t xml:space="preserve">Статья в «SageJournals»</w:t>
        <w:rPr>
          <w:sz w:val="18"/>
        </w:rPr>
      </w:r>
      <w:r w:rsidR="0026191C">
        <w:rPr/>
        <w:br/>
      </w:r>
      <w:hyperlink w:history="true" r:id="R016bf5cb12914f8b">
        <w:r w:rsidRPr="00F24C6F">
          <w:rPr>
            <w:rStyle w:val="Hyperlink"/>
          </w:rPr>
          <w:rPr>
            <w:sz w:val="18"/>
          </w:rPr>
          <w:t>https://journals.sagepub.com/doi/10.1177/0960327111407644</w:t>
        </w:r>
      </w:hyperlink>
      <w:r w:rsidR="0026191C">
        <w:rPr/>
        <w:br/>
      </w:r>
      <w:r w:rsidR="0026191C">
        <w:rPr/>
        <w:br/>
      </w:r>
      <w:r w:rsidRPr="002B28C8">
        <w:t xml:space="preserve">Статья в «SageJournals»</w:t>
        <w:rPr>
          <w:sz w:val="18"/>
        </w:rPr>
      </w:r>
      <w:r w:rsidR="0026191C">
        <w:rPr/>
        <w:br/>
      </w:r>
      <w:hyperlink w:history="true" r:id="Rf314c05cbfc446da">
        <w:r w:rsidRPr="00F24C6F">
          <w:rPr>
            <w:rStyle w:val="Hyperlink"/>
          </w:rPr>
          <w:rPr>
            <w:sz w:val="18"/>
          </w:rPr>
          <w:t>https://journals.sagepub.com/doi/10.1177/0960327112440111</w:t>
        </w:r>
      </w:hyperlink>
      <w:r w:rsidR="0026191C">
        <w:rPr/>
        <w:br/>
      </w:r>
      <w:r w:rsidR="0026191C">
        <w:rPr/>
        <w:br/>
      </w:r>
      <w:r w:rsidRPr="002B28C8">
        <w:t xml:space="preserve">Оригинальное исследование Миллера в формате PDF для скачивания:</w:t>
        <w:rPr>
          <w:sz w:val="18"/>
        </w:rPr>
      </w:r>
      <w:r w:rsidR="0026191C">
        <w:rPr/>
        <w:br/>
      </w:r>
      <w:r w:rsidRPr="002B28C8">
        <w:t xml:space="preserve">(PDF) Vaccines and Sudden Infant Death: An Analysis of the VAERS Database 1990-2019 and Review of the Medical Literature</w:t>
        <w:rPr>
          <w:sz w:val="18"/>
        </w:rPr>
      </w:r>
      <w:r w:rsidR="0026191C">
        <w:rPr/>
        <w:br/>
      </w:r>
      <w:r w:rsidR="0026191C">
        <w:rPr/>
        <w:br/>
      </w:r>
      <w:r w:rsidRPr="002B28C8">
        <w:t xml:space="preserve">Комиссия по ценным бумагам и биржам США: </w:t>
        <w:rPr>
          <w:sz w:val="18"/>
        </w:rPr>
      </w:r>
      <w:r w:rsidR="0026191C">
        <w:rPr/>
        <w:br/>
      </w:r>
      <w:hyperlink w:history="true" r:id="Rcf03e1eff75d41fc">
        <w:r w:rsidRPr="00F24C6F">
          <w:rPr>
            <w:rStyle w:val="Hyperlink"/>
          </w:rPr>
          <w:rPr>
            <w:sz w:val="18"/>
          </w:rPr>
          <w:t>https://www.sec.gov/Archives/edgar/data/200406/000020040626000063</w:t>
        </w:r>
      </w:hyperlink>
      <w:r w:rsidR="0026191C">
        <w:rPr/>
        <w:br/>
      </w:r>
      <w:r w:rsidR="0026191C">
        <w:rPr/>
        <w:br/>
      </w:r>
      <w:r w:rsidRPr="002B28C8">
        <w:t xml:space="preserve">Доли участия в фармацевтических компаниях, принадлежащие Blackrock, Vanguard и State Street:</w:t>
        <w:rPr>
          <w:sz w:val="18"/>
        </w:rPr>
      </w:r>
      <w:r w:rsidR="0026191C">
        <w:rPr/>
        <w:br/>
      </w:r>
      <w:hyperlink w:history="true" r:id="Rc77439206c344c4c">
        <w:r w:rsidRPr="00F24C6F">
          <w:rPr>
            <w:rStyle w:val="Hyperlink"/>
          </w:rPr>
          <w:rPr>
            <w:sz w:val="18"/>
          </w:rPr>
          <w:t>https://www.investing.com/equities/pfizer-ownership</w:t>
        </w:r>
      </w:hyperlink>
      <w:r w:rsidR="0026191C">
        <w:rPr/>
        <w:br/>
      </w:r>
      <w:r w:rsidR="0026191C">
        <w:rPr/>
        <w:br/>
      </w:r>
      <w:r w:rsidRPr="002B28C8">
        <w:t xml:space="preserve">КОМИССИЯ ПО ЦЕННЫМ БУМАГАМ И БИРЖАМ США — Компания ELI LILLY:</w:t>
        <w:rPr>
          <w:sz w:val="18"/>
        </w:rPr>
      </w:r>
      <w:r w:rsidR="0026191C">
        <w:rPr/>
        <w:br/>
      </w:r>
      <w:hyperlink w:history="true" r:id="R2b0b525d58184a7d">
        <w:r w:rsidRPr="00F24C6F">
          <w:rPr>
            <w:rStyle w:val="Hyperlink"/>
          </w:rPr>
          <w:rPr>
            <w:sz w:val="18"/>
          </w:rPr>
          <w:t>https://www.sec.gov/Archives/edgar/data/59478/000005947826000021/lly-20260306.htm</w:t>
        </w:r>
      </w:hyperlink>
    </w:p>
    <w:p w:rsidRPr="00C534E6" w:rsidR="00C534E6" w:rsidP="00C534E6" w:rsidRDefault="00C534E6">
      <w:pPr>
        <w:keepNext/>
        <w:keepLines/>
        <w:pBdr>
          <w:top w:val="single" w:color="365F91" w:themeColor="accent1" w:themeShade="BF" w:sz="6" w:space="8"/>
        </w:pBdr>
        <w:spacing w:after="160"/>
        <w:rPr>
          <w:rStyle w:val="edit"/>
          <w:rFonts w:ascii="Arial" w:hAnsi="Arial" w:cs="Arial"/>
          <w:b/>
          <w:color w:val="000000"/>
          <w:szCs w:val="18"/>
        </w:rPr>
      </w:pPr>
      <w:r w:rsidRPr="00C534E6">
        <w:rPr>
          <w:rStyle w:val="edit"/>
          <w:rFonts w:ascii="Arial" w:hAnsi="Arial" w:cs="Arial"/>
          <w:b/>
          <w:color w:val="000000"/>
          <w:szCs w:val="18"/>
        </w:rPr>
        <w:t>Может быть вас тоже интересует:</w:t>
      </w:r>
    </w:p>
    <w:p w:rsidRPr="00C534E6" w:rsidR="00C534E6" w:rsidP="00C534E6" w:rsidRDefault="00C534E6">
      <w:pPr>
        <w:keepLines/>
        <w:spacing w:after="160"/>
        <w:rPr>
          <w:rFonts w:ascii="Arial" w:hAnsi="Arial" w:cs="Arial"/>
          <w:sz w:val="18"/>
          <w:szCs w:val="18"/>
        </w:rPr>
      </w:pPr>
      <w:r w:rsidRPr="002B28C8">
        <w:t xml:space="preserve">#Vakzinaziya - Вакцинация. Факты и предпосылки... - </w:t>
      </w:r>
      <w:hyperlink w:history="true" r:id="R05b22a16eb184a02">
        <w:r w:rsidRPr="00F24C6F">
          <w:rPr>
            <w:rStyle w:val="Hyperlink"/>
          </w:rPr>
          <w:t>www.kla.tv/Vakzinaziya</w:t>
        </w:r>
      </w:hyperlink>
      <w:r w:rsidR="0026191C">
        <w:rPr/>
        <w:br/>
      </w:r>
      <w:r w:rsidR="0026191C">
        <w:rPr/>
        <w:br/>
      </w:r>
      <w:r w:rsidRPr="002B28C8">
        <w:t xml:space="preserve">#BigPharma - Big Pharma - </w:t>
      </w:r>
      <w:hyperlink w:history="true" r:id="R8ea5248301c04aa4">
        <w:r w:rsidRPr="00F24C6F">
          <w:rPr>
            <w:rStyle w:val="Hyperlink"/>
          </w:rPr>
          <w:t>www.kla.tv/BigPharma</w:t>
        </w:r>
      </w:hyperlink>
      <w:r w:rsidR="0026191C">
        <w:rPr/>
        <w:br/>
      </w:r>
      <w:r w:rsidR="0026191C">
        <w:rPr/>
        <w:br/>
      </w:r>
      <w:r w:rsidRPr="002B28C8">
        <w:t xml:space="preserve">#MedijnyjKommentarij - </w:t>
      </w:r>
      <w:hyperlink w:history="true" r:id="R39e854066c7547c6">
        <w:r w:rsidRPr="00F24C6F">
          <w:rPr>
            <w:rStyle w:val="Hyperlink"/>
          </w:rPr>
          <w:t>www.kla.tv/MedijnyjKommentarij</w:t>
        </w:r>
      </w:hyperlink>
      <w:r w:rsidR="0026191C">
        <w:rPr/>
        <w:br/>
      </w:r>
      <w:r w:rsidR="0026191C">
        <w:rPr/>
        <w:br/>
      </w:r>
      <w:r w:rsidRPr="002B28C8">
        <w:t xml:space="preserve">#ZdorovyeMedicina - </w:t>
      </w:r>
      <w:hyperlink w:history="true" r:id="Rf7ec2679ceee4cd9">
        <w:r w:rsidRPr="00F24C6F">
          <w:rPr>
            <w:rStyle w:val="Hyperlink"/>
          </w:rPr>
          <w:t>www.kla.tv/ZdorovyeMedicina</w:t>
        </w:r>
      </w:hyperlink>
    </w:p>
    <w:p w:rsidRPr="00C534E6" w:rsidR="00C534E6" w:rsidP="00C534E6" w:rsidRDefault="00FF4982">
      <w:pPr>
        <w:keepNext/>
        <w:keepLines/>
        <w:pBdr>
          <w:top w:val="single" w:color="365F91" w:themeColor="accent1" w:themeShade="BF" w:sz="6" w:space="8"/>
        </w:pBdr>
        <w:spacing w:after="160"/>
        <w:rPr>
          <w:rStyle w:val="edit"/>
          <w:rFonts w:ascii="Arial" w:hAnsi="Arial" w:cs="Arial"/>
          <w:b/>
          <w:color w:val="000000"/>
          <w:szCs w:val="18"/>
        </w:rPr>
      </w:pPr>
      <w:r>
        <w:rPr>
          <w:rFonts w:ascii="Arial" w:hAnsi="Arial" w:cs="Arial"/>
          <w:noProof/>
          <w:sz w:val="18"/>
          <w:szCs w:val="18"/>
        </w:rPr>
        <w:drawing>
          <wp:anchor distT="0" distB="0" distL="114300" distR="114300" simplePos="0" relativeHeight="251659264" behindDoc="1" locked="0" layoutInCell="1" allowOverlap="1" wp14:editId="698817D4" wp14:anchorId="179C7D85">
            <wp:simplePos x="0" y="0"/>
            <wp:positionH relativeFrom="column">
              <wp:posOffset>14605</wp:posOffset>
            </wp:positionH>
            <wp:positionV relativeFrom="paragraph">
              <wp:posOffset>454025</wp:posOffset>
            </wp:positionV>
            <wp:extent cx="990600" cy="719455"/>
            <wp:effectExtent l="0" t="0" r="0" b="4445"/>
            <wp:wrapTight wrapText="bothSides">
              <wp:wrapPolygon edited="0">
                <wp:start x="831" y="0"/>
                <wp:lineTo x="0" y="1144"/>
                <wp:lineTo x="0" y="19446"/>
                <wp:lineTo x="415" y="21162"/>
                <wp:lineTo x="831" y="21162"/>
                <wp:lineTo x="20354" y="21162"/>
                <wp:lineTo x="21185" y="20018"/>
                <wp:lineTo x="21185" y="1144"/>
                <wp:lineTo x="20354" y="0"/>
                <wp:lineTo x="831" y="0"/>
              </wp:wrapPolygon>
            </wp:wrapTight>
            <wp:docPr id="1" name="Grafik 1" descr="C:\Users\W\3WAR\2P\1IT\_git\SW\KlaTvVideoDocGen.git\KlaTvVideoDocGen\Material\klatv_logo_200dpi-forf2.75x1.99cm.png">
              <a:hlinkClick xmlns:a="http://schemas.openxmlformats.org/drawingml/2006/main" r:id="R24448e3d665f416b"/>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3WAR\2P\1IT\_git\SW\KlaTvVideoDocGen.git\KlaTvVideoDocGen\Material\klatv_logo_200dpi-forf2.75x1.99c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9060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dit"/>
          <w:rFonts w:ascii="Arial" w:hAnsi="Arial" w:cs="Arial"/>
          <w:b/>
          <w:color w:val="000000"/>
          <w:szCs w:val="18"/>
        </w:rPr>
        <w:t>Kla.TV – Другие новости ... свободные – независимые – без цензуры ...</w:t>
      </w:r>
    </w:p>
    <w:p w:rsidRPr="009779AD" w:rsidR="00FF4982" w:rsidP="00FF4982" w:rsidRDefault="00FF4982">
      <w:pPr>
        <w:pStyle w:val="Listenabsatz"/>
        <w:keepNext/>
        <w:keepLines/>
        <w:numPr>
          <w:ilvl w:val="0"/>
          <w:numId w:val="1"/>
        </w:numPr>
        <w:ind w:start="714" w:hanging="357"/>
        <w:rPr/>
      </w:pPr>
      <w:r>
        <w:rPr/>
        <w:t>О чем СМИ не должны молчать ...</w:t>
      </w:r>
    </w:p>
    <w:p w:rsidRPr="009779AD" w:rsidR="00FF4982" w:rsidP="00FF4982" w:rsidRDefault="00FF4982">
      <w:pPr>
        <w:pStyle w:val="Listenabsatz"/>
        <w:keepNext/>
        <w:keepLines/>
        <w:numPr>
          <w:ilvl w:val="0"/>
          <w:numId w:val="1"/>
        </w:numPr>
        <w:ind w:start="714" w:hanging="357"/>
        <w:rPr/>
      </w:pPr>
      <w:r>
        <w:rPr/>
        <w:t>Мало слышанное от народа, для народа...</w:t>
      </w:r>
    </w:p>
    <w:p w:rsidRPr="001D6477" w:rsidR="00FF4982" w:rsidP="001D6477" w:rsidRDefault="00FF4982">
      <w:pPr>
        <w:pStyle w:val="Listenabsatz"/>
        <w:keepNext/>
        <w:keepLines/>
        <w:numPr>
          <w:ilvl w:val="0"/>
          <w:numId w:val="1"/>
        </w:numPr>
        <w:ind w:start="714" w:hanging="357"/>
        <w:rPr/>
      </w:pPr>
      <w:r w:rsidRPr="001D6477">
        <w:rPr/>
        <w:t xml:space="preserve">регулярные новости на </w:t>
      </w:r>
      <w:hyperlink w:history="true" r:id="Rafd7a97fa7d048d0">
        <w:r w:rsidRPr="001D6477" w:rsidR="001D6477">
          <w:rPr>
            <w:rStyle w:val="Hyperlink"/>
          </w:rPr>
          <w:t>www.kla.tv/ru</w:t>
        </w:r>
      </w:hyperlink>
    </w:p>
    <w:p w:rsidRPr="001D6477" w:rsidR="00FF4982" w:rsidP="001D6477" w:rsidRDefault="00FF4982">
      <w:pPr>
        <w:keepNext/>
        <w:keepLines/>
        <w:ind w:firstLine="357"/>
        <w:rPr/>
      </w:pPr>
      <w:r w:rsidRPr="001D6477">
        <w:rPr/>
        <w:t>Оставайтесь с нами!</w:t>
      </w:r>
    </w:p>
    <w:p w:rsidRPr="006C4827" w:rsidR="00C534E6" w:rsidP="00C534E6" w:rsidRDefault="001D6477">
      <w:pPr>
        <w:keepLines/>
        <w:spacing w:after="160"/>
        <w:rPr>
          <w:rStyle w:val="Hyperlink"/>
          <w:b/>
        </w:rPr>
      </w:pPr>
      <w:r w:rsidRPr="001D6477">
        <w:rPr>
          <w:rFonts w:ascii="Arial" w:hAnsi="Arial" w:cs="Arial"/>
          <w:b/>
          <w:sz w:val="18"/>
          <w:szCs w:val="18"/>
        </w:rPr>
        <w:t xml:space="preserve">Бесплатную рассылку новостей по электронной почте</w:t>
        <w:br/>
        <w:t xml:space="preserve">Вы можете получить по ссылке </w:t>
      </w:r>
      <w:hyperlink w:history="true" r:id="Re85a1302c9454cb9">
        <w:r w:rsidRPr="001D6477">
          <w:rPr>
            <w:rStyle w:val="Hyperlink"/>
            <w:b/>
          </w:rPr>
          <w:t>www.kla.tv/abo-ru</w:t>
        </w:r>
      </w:hyperlink>
    </w:p>
    <w:p w:rsidRPr="006C4827" w:rsidR="001D6477" w:rsidP="001D6477" w:rsidRDefault="001D6477">
      <w:pPr>
        <w:keepNext/>
        <w:keepLines/>
        <w:pBdr>
          <w:top w:val="single" w:color="365F91" w:themeColor="accent1" w:themeShade="BF" w:sz="6" w:space="8"/>
        </w:pBdr>
        <w:spacing w:after="160"/>
        <w:rPr>
          <w:rStyle w:val="edit"/>
          <w:rFonts w:ascii="Arial" w:hAnsi="Arial" w:cs="Arial"/>
          <w:b/>
          <w:color w:val="000000"/>
          <w:szCs w:val="18"/>
        </w:rPr>
      </w:pPr>
      <w:r w:rsidRPr="006C4827">
        <w:rPr>
          <w:rStyle w:val="edit"/>
          <w:rFonts w:ascii="Arial" w:hAnsi="Arial" w:cs="Arial"/>
          <w:b/>
          <w:color w:val="000000"/>
          <w:szCs w:val="18"/>
        </w:rPr>
        <w:t>Инструкция по безопасности:</w:t>
      </w:r>
    </w:p>
    <w:p w:rsidRPr="006C4827" w:rsidR="001D6477" w:rsidP="00C60E18" w:rsidRDefault="001D6477">
      <w:pPr>
        <w:keepNext/>
        <w:keepLines/>
        <w:spacing w:after="160"/>
        <w:rPr>
          <w:rFonts w:ascii="Arial" w:hAnsi="Arial" w:cs="Arial"/>
          <w:sz w:val="18"/>
          <w:szCs w:val="18"/>
        </w:rPr>
      </w:pPr>
      <w:r w:rsidRPr="006C4827">
        <w:rPr>
          <w:rStyle w:val="edit"/>
          <w:rFonts w:ascii="Arial" w:hAnsi="Arial" w:cs="Arial"/>
          <w:color w:val="000000"/>
          <w:szCs w:val="18"/>
        </w:rPr>
        <w:t xml:space="preserve">Несогласные голоса, к сожалению, все снова подвергаются цензуре и подавлению. До тех пор, пока мы не будем сообщать в соответствии с интересами и идеологией системной прессы, мы всегда должны ожидать, что будут искать предлоги, чтобы заблокировать или навредить Kla.TV.</w:t>
      </w:r>
    </w:p>
    <w:p w:rsidRPr="006C4827" w:rsidR="001D6477" w:rsidP="00C534E6" w:rsidRDefault="00C205D1">
      <w:pPr>
        <w:keepLines/>
        <w:spacing w:after="160"/>
        <w:rPr>
          <w:rStyle w:val="Hyperlink"/>
          <w:b/>
        </w:rPr>
      </w:pPr>
      <w:r w:rsidRPr="006C4827">
        <w:rPr>
          <w:rFonts w:ascii="Arial" w:hAnsi="Arial" w:cs="Arial"/>
          <w:b/>
          <w:sz w:val="18"/>
          <w:szCs w:val="18"/>
        </w:rPr>
        <w:t xml:space="preserve">Поэтому объединитесь сегодня в сеть независимо от интернета!</w:t>
        <w:br/>
        <w:t xml:space="preserve">Нажмите здесь:</w:t>
      </w:r>
      <w:r w:rsidRPr="006C4827" w:rsidR="00C60E18">
        <w:rPr>
          <w:rFonts w:ascii="Arial" w:hAnsi="Arial" w:cs="Arial"/>
          <w:sz w:val="18"/>
          <w:szCs w:val="18"/>
        </w:rPr>
        <w:t xml:space="preserve"> </w:t>
      </w:r>
      <w:hyperlink w:history="true" r:id="R0920ce2b6c384165">
        <w:r w:rsidRPr="006C4827" w:rsidR="00C60E18">
          <w:rPr>
            <w:rStyle w:val="Hyperlink"/>
            <w:b/>
          </w:rPr>
          <w:t>www.kla.tv/vernetzung&amp;lang=ru</w:t>
        </w:r>
      </w:hyperlink>
    </w:p>
    <w:p w:rsidR="00C60E18" w:rsidP="00C60E18" w:rsidRDefault="00C60E18">
      <w:pPr>
        <w:keepNext/>
        <w:keepLines/>
        <w:spacing w:after="0"/>
        <w:pBdr>
          <w:top w:val="single" w:color="365F91" w:themeColor="accent1" w:themeShade="BF" w:sz="6" w:space="8"/>
        </w:pBdr>
      </w:pPr>
      <w:r w:rsidRPr="0080337B">
        <w:rPr>
          <w:i/>
          <w:iCs/>
          <w:rFonts w:ascii="Calibri" w:hAnsi="Calibri" w:cs="Calibri"/>
          <w:sz w:val="18"/>
          <w:szCs w:val="18"/>
        </w:rPr>
        <w:t xml:space="preserve">Право пользования:  </w:t>
      </w:r>
      <w:hyperlink w:history="true" r:id="Rbc0c147c0dc6433c">
        <w:r w:rsidRPr="006C4827" w:rsidR="00C60E18">
          <w:rPr>
            <w:rStyle w:val="Hyperlink"/>
            <w:sz w:val="18"/>
          </w:rPr>
          <w:t>Стандартная лицензия Kla.TV</w:t>
        </w:r>
      </w:hyperlink>
    </w:p>
    <w:p w:rsidRPr="00C60E18" w:rsidR="00C60E18" w:rsidP="00CB20A5" w:rsidRDefault="00CB20A5">
      <w:pPr>
        <w:keepNext/>
        <w:keepLines/>
        <w:spacing w:after="0"/>
      </w:pPr>
      <w:r w:rsidRPr="0080337B">
        <w:rPr>
          <w:rFonts w:ascii="Calibri" w:hAnsi="Calibri" w:cs="Calibri"/>
          <w:sz w:val="12"/>
          <w:szCs w:val="12"/>
        </w:rPr>
        <w:t xml:space="preserve">Kla.TV создает все передачи на волонтерских и некоммерческих принципах. Распространение нашей продукции вами - наша единственная награда! Подробнее здесь </w:t>
      </w:r>
      <w:hyperlink w:history="true" r:id="Red34f11e35c54308">
        <w:r w:rsidRPr="006C4827" w:rsidR="00C60E18">
          <w:rPr>
            <w:rStyle w:val="Hyperlink"/>
            <w:sz w:val="12"/>
          </w:rPr>
          <w:t>www.kla.tv/licence</w:t>
        </w:r>
      </w:hyperlink>
    </w:p>
    <w:sectPr w:rsidRPr="00C60E18" w:rsidR="00C60E18">
      <w:headerReference w:type="default" r:id="rId17"/>
      <w:foot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FFA" w:rsidP="00F33FD6" w:rsidRDefault="00503FFA">
      <w:pPr>
        <w:spacing w:after="0" w:line="240" w:lineRule="auto"/>
      </w:pPr>
      <w:r>
        <w:separator/>
      </w:r>
    </w:p>
  </w:endnote>
  <w:endnote w:type="continuationSeparator" w:id="0">
    <w:p w:rsidR="00503FFA" w:rsidP="00F33FD6" w:rsidRDefault="00503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F33FD6" w:rsidR="00F33FD6" w:rsidP="00F33FD6" w:rsidRDefault="00F33FD6">
    <w:pPr>
      <w:pStyle w:val="Fuzeile"/>
      <w:pBdr>
        <w:top w:val="single" w:color="365F91" w:themeColor="accent1" w:themeShade="BF" w:sz="6" w:space="3"/>
      </w:pBdr>
      <w:rPr>
        <w:sz w:val="18"/>
      </w:rPr>
    </w:pPr>
    <w:r>
      <w:rPr>
        <w:noProof/>
        <w:sz w:val="18"/>
      </w:rPr>
      <w:t xml:space="preserve">Причина «синдрома внезапной детской смерти» раскрыта?  </w:t>
    </w:r>
    <w:r w:rsidRPr="00D10E2E">
      <w:rPr>
        <w:sz w:val="18"/>
      </w:rPr>
      <w:ptab w:alignment="right" w:relativeTo="margin" w:leader="none"/>
    </w:r>
    <w:r w:rsidRPr="00D10E2E">
      <w:rPr>
        <w:bCs/>
        <w:sz w:val="18"/>
      </w:rPr>
      <w:fldChar w:fldCharType="begin"/>
    </w:r>
    <w:r w:rsidRPr="00D10E2E">
      <w:rPr>
        <w:bCs/>
        <w:sz w:val="18"/>
      </w:rPr>
      <w:instrText>PAGE  \* Arabic  \* MERGEFORMAT</w:instrText>
    </w:r>
    <w:r w:rsidRPr="00D10E2E">
      <w:rPr>
        <w:bCs/>
        <w:sz w:val="18"/>
      </w:rPr>
      <w:fldChar w:fldCharType="separate"/>
    </w:r>
    <w:r w:rsidR="00FE2F5D">
      <w:rPr>
        <w:bCs/>
        <w:noProof/>
        <w:sz w:val="18"/>
      </w:rPr>
      <w:t>1</w:t>
    </w:r>
    <w:r w:rsidRPr="00D10E2E">
      <w:rPr>
        <w:bCs/>
        <w:sz w:val="18"/>
      </w:rPr>
      <w:fldChar w:fldCharType="end"/>
    </w:r>
    <w:r w:rsidRPr="00D10E2E">
      <w:rPr>
        <w:sz w:val="18"/>
      </w:rPr>
      <w:t xml:space="preserve"> / </w:t>
    </w:r>
    <w:r w:rsidRPr="00D10E2E">
      <w:rPr>
        <w:bCs/>
        <w:sz w:val="18"/>
      </w:rPr>
      <w:fldChar w:fldCharType="begin"/>
    </w:r>
    <w:r w:rsidRPr="00D10E2E">
      <w:rPr>
        <w:bCs/>
        <w:sz w:val="18"/>
      </w:rPr>
      <w:instrText>NUMPAGES  \* Arabic  \* MERGEFORMAT</w:instrText>
    </w:r>
    <w:r w:rsidRPr="00D10E2E">
      <w:rPr>
        <w:bCs/>
        <w:sz w:val="18"/>
      </w:rPr>
      <w:fldChar w:fldCharType="separate"/>
    </w:r>
    <w:r w:rsidR="00FE2F5D">
      <w:rPr>
        <w:bCs/>
        <w:noProof/>
        <w:sz w:val="18"/>
      </w:rPr>
      <w:t>1</w:t>
    </w:r>
    <w:r w:rsidRPr="00D10E2E">
      <w:rPr>
        <w:bCs/>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FFA" w:rsidP="00F33FD6" w:rsidRDefault="00503FFA">
      <w:pPr>
        <w:spacing w:after="0" w:line="240" w:lineRule="auto"/>
      </w:pPr>
      <w:r>
        <w:separator/>
      </w:r>
    </w:p>
  </w:footnote>
  <w:footnote w:type="continuationSeparator" w:id="0">
    <w:p w:rsidR="00503FFA" w:rsidP="00F33FD6" w:rsidRDefault="00503FFA">
      <w:pPr>
        <w:spacing w:after="0" w:line="240" w:lineRule="auto"/>
      </w:pPr>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pPr w:leftFromText="142" w:rightFromText="142" w:vertAnchor="text" w:tblpX="92" w:tblpY="1"/>
      <w:tblOverlap w:val="never"/>
      <w:tblW w:w="0" w:type="auto"/>
      <w:tblBorders>
        <w:top w:val="none" w:color="auto" w:sz="0" w:space="0"/>
        <w:bottom w:val="single" w:color="365F91" w:themeColor="accent1" w:themeShade="BF" w:sz="8" w:space="0"/>
        <w:right w:val="none" w:color="auto" w:sz="0" w:space="0"/>
        <w:insideH w:val="none" w:color="auto" w:sz="0" w:space="0"/>
        <w:insideV w:val="none" w:color="auto" w:sz="0" w:space="0"/>
      </w:tblBorders>
      <w:tblLook w:val="04A0"/>
    </w:tblPr>
    <w:tblGrid>
      <w:gridCol w:w="7717"/>
    </w:tblGrid>
    <w:tr w:rsidRPr="006C4827" w:rsidR="00F33FD6" w:rsidTr="00FE2F5D">
      <w:tc>
        <w:tcPr>
          <w:tcW w:w="7717" w:type="dxa"/>
          <w:tcBorders>
            <w:left w:val="nil"/>
            <w:bottom w:val="single" w:color="365F91" w:themeColor="accent1" w:themeShade="BF" w:sz="8" w:space="0"/>
          </w:tcBorders>
        </w:tcPr>
        <w:p w:rsidRPr="00B9284F" w:rsidR="00F33FD6" w:rsidP="00FE2F5D" w:rsidRDefault="00F67ED1">
          <w:pPr>
            <w:pStyle w:val="Kopfzeile"/>
            <w:ind w:start="-57"/>
            <w:rPr>
              <w:rFonts w:ascii="Arial" w:hAnsi="Arial" w:cs="Arial"/>
              <w:sz w:val="18"/>
            </w:rPr>
          </w:pPr>
          <w:r>
            <w:rPr>
              <w:rFonts w:ascii="Arial" w:hAnsi="Arial" w:cs="Arial"/>
              <w:b/>
              <w:sz w:val="18"/>
            </w:rPr>
            <w:t>Ссылка:</w:t>
          </w:r>
          <w:r w:rsidRPr="00B9284F" w:rsidR="00F33FD6">
            <w:rPr>
              <w:rFonts w:ascii="Arial" w:hAnsi="Arial" w:cs="Arial"/>
              <w:sz w:val="18"/>
            </w:rPr>
            <w:t xml:space="preserve"> </w:t>
          </w:r>
          <w:hyperlink w:history="true" r:id="rId1">
            <w:r w:rsidRPr="00B9284F" w:rsidR="00F33FD6">
              <w:rPr>
                <w:rStyle w:val="Hyperlink"/>
                <w:rFonts w:ascii="Arial" w:hAnsi="Arial" w:cs="Arial"/>
                <w:sz w:val="18"/>
              </w:rPr>
              <w:t>www.kla.tv/43198</w:t>
            </w:r>
          </w:hyperlink>
          <w:r w:rsidRPr="00B9284F" w:rsidR="00F33FD6">
            <w:rPr>
              <w:rFonts w:ascii="Arial" w:hAnsi="Arial" w:cs="Arial"/>
              <w:sz w:val="18"/>
            </w:rPr>
            <w:t xml:space="preserve"> | </w:t>
          </w:r>
          <w:r>
            <w:rPr>
              <w:rFonts w:ascii="Arial" w:hAnsi="Arial" w:cs="Arial"/>
              <w:b/>
              <w:sz w:val="18"/>
            </w:rPr>
            <w:t xml:space="preserve">Дата выпуска: </w:t>
          </w:r>
          <w:r w:rsidRPr="00B9284F" w:rsidR="00F33FD6">
            <w:rPr>
              <w:rFonts w:ascii="Arial" w:hAnsi="Arial" w:cs="Arial"/>
              <w:sz w:val="18"/>
            </w:rPr>
            <w:t xml:space="preserve">06.11.2026</w:t>
          </w:r>
        </w:p>
        <w:p w:rsidRPr="00B9284F" w:rsidR="00F33FD6" w:rsidP="00FE2F5D" w:rsidRDefault="00F33FD6">
          <w:pPr>
            <w:pStyle w:val="Kopfzeile"/>
            <w:rPr>
              <w:rFonts w:ascii="Arial" w:hAnsi="Arial" w:cs="Arial"/>
              <w:sz w:val="18"/>
            </w:rPr>
          </w:pPr>
        </w:p>
      </w:tc>
    </w:tr>
  </w:tbl>
  <w:p w:rsidRPr="00B9284F" w:rsidR="00F33FD6" w:rsidP="00FE2F5D" w:rsidRDefault="00CB20A5">
    <w:pPr>
      <w:pStyle w:val="Kopfzeile"/>
      <w:tabs>
        <w:tab w:val="clear" w:pos="4536"/>
        <w:tab w:val="clear" w:pos="9072"/>
        <w:tab w:val="left" w:pos="7995"/>
      </w:tabs>
      <w:rPr>
        <w:rFonts w:ascii="Arial" w:hAnsi="Arial" w:cs="Arial"/>
        <w:sz w:val="18"/>
      </w:rPr>
    </w:pPr>
    <w:r>
      <w:rPr>
        <w:rFonts w:ascii="Arial" w:hAnsi="Arial" w:cs="Arial"/>
        <w:noProof/>
        <w:sz w:val="18"/>
        <w:szCs w:val="18"/>
      </w:rPr>
      <w:drawing>
        <wp:anchor distT="0" distB="0" distL="114300" distR="114300" simplePos="0" relativeHeight="251659264" behindDoc="1" locked="0" layoutInCell="1" allowOverlap="1" wp14:editId="609E0BF8" wp14:anchorId="44A748BB">
          <wp:simplePos x="0" y="0"/>
          <wp:positionH relativeFrom="column">
            <wp:posOffset>5039995</wp:posOffset>
          </wp:positionH>
          <wp:positionV relativeFrom="paragraph">
            <wp:posOffset>-172720</wp:posOffset>
          </wp:positionV>
          <wp:extent cx="741045" cy="539750"/>
          <wp:effectExtent l="0" t="0" r="1905" b="0"/>
          <wp:wrapTight wrapText="bothSides">
            <wp:wrapPolygon edited="0">
              <wp:start x="0" y="0"/>
              <wp:lineTo x="0" y="20584"/>
              <wp:lineTo x="21100" y="20584"/>
              <wp:lineTo x="21100" y="0"/>
              <wp:lineTo x="0" y="0"/>
            </wp:wrapPolygon>
          </wp:wrapTight>
          <wp:docPr id="3" name="Grafik 3" descr="C:\Users\W\3WAR\2P\1IT\_git\SW\KlaTvVideoDocGen.git\KlaTvVideoDocGen\Material\klatv_logo_200dpi-forf2.75x1.99cm.png">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3WAR\2P\1IT\_git\SW\KlaTvVideoDocGen.git\KlaTvVideoDocGen\Material\klatv_logo_200dpi-forf2.75x1.99cm.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104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BB3CEA"/>
    <w:multiLevelType w:val="hybridMultilevel"/>
    <w:tmpl w:val="D8E2D154"/>
    <w:lvl w:ilvl="0" w:tplc="92F424F2">
      <w:numFmt w:val="bullet"/>
      <w:lvlText w:val="è"/>
      <w:lvlJc w:val="left"/>
      <w:pPr>
        <w:ind w:start="720" w:hanging="360"/>
      </w:pPr>
      <w:rPr>
        <w:rFonts w:hint="default" w:ascii="Wingdings" w:hAnsi="Wingdings" w:eastAsiaTheme="minorHAnsi" w:cstheme="minorBidi"/>
      </w:rPr>
    </w:lvl>
    <w:lvl w:ilvl="1" w:tplc="04070003" w:tentative="true">
      <w:start w:val="1"/>
      <w:numFmt w:val="bullet"/>
      <w:lvlText w:val="o"/>
      <w:lvlJc w:val="left"/>
      <w:pPr>
        <w:ind w:start="1440" w:hanging="360"/>
      </w:pPr>
      <w:rPr>
        <w:rFonts w:hint="default" w:ascii="Courier New" w:hAnsi="Courier New" w:cs="Courier New"/>
      </w:rPr>
    </w:lvl>
    <w:lvl w:ilvl="2" w:tplc="04070005" w:tentative="true">
      <w:start w:val="1"/>
      <w:numFmt w:val="bullet"/>
      <w:lvlText w:val="§"/>
      <w:lvlJc w:val="left"/>
      <w:pPr>
        <w:ind w:start="2160" w:hanging="360"/>
      </w:pPr>
      <w:rPr>
        <w:rFonts w:hint="default" w:ascii="Wingdings" w:hAnsi="Wingdings"/>
      </w:rPr>
    </w:lvl>
    <w:lvl w:ilvl="3" w:tplc="04070001" w:tentative="true">
      <w:start w:val="1"/>
      <w:numFmt w:val="bullet"/>
      <w:lvlText w:val="·"/>
      <w:lvlJc w:val="left"/>
      <w:pPr>
        <w:ind w:start="2880" w:hanging="360"/>
      </w:pPr>
      <w:rPr>
        <w:rFonts w:hint="default" w:ascii="Symbol" w:hAnsi="Symbol"/>
      </w:rPr>
    </w:lvl>
    <w:lvl w:ilvl="4" w:tplc="04070003" w:tentative="true">
      <w:start w:val="1"/>
      <w:numFmt w:val="bullet"/>
      <w:lvlText w:val="o"/>
      <w:lvlJc w:val="left"/>
      <w:pPr>
        <w:ind w:start="3600" w:hanging="360"/>
      </w:pPr>
      <w:rPr>
        <w:rFonts w:hint="default" w:ascii="Courier New" w:hAnsi="Courier New" w:cs="Courier New"/>
      </w:rPr>
    </w:lvl>
    <w:lvl w:ilvl="5" w:tplc="04070005" w:tentative="true">
      <w:start w:val="1"/>
      <w:numFmt w:val="bullet"/>
      <w:lvlText w:val="§"/>
      <w:lvlJc w:val="left"/>
      <w:pPr>
        <w:ind w:start="4320" w:hanging="360"/>
      </w:pPr>
      <w:rPr>
        <w:rFonts w:hint="default" w:ascii="Wingdings" w:hAnsi="Wingdings"/>
      </w:rPr>
    </w:lvl>
    <w:lvl w:ilvl="6" w:tplc="04070001" w:tentative="true">
      <w:start w:val="1"/>
      <w:numFmt w:val="bullet"/>
      <w:lvlText w:val="·"/>
      <w:lvlJc w:val="left"/>
      <w:pPr>
        <w:ind w:start="5040" w:hanging="360"/>
      </w:pPr>
      <w:rPr>
        <w:rFonts w:hint="default" w:ascii="Symbol" w:hAnsi="Symbol"/>
      </w:rPr>
    </w:lvl>
    <w:lvl w:ilvl="7" w:tplc="04070003" w:tentative="true">
      <w:start w:val="1"/>
      <w:numFmt w:val="bullet"/>
      <w:lvlText w:val="o"/>
      <w:lvlJc w:val="left"/>
      <w:pPr>
        <w:ind w:start="5760" w:hanging="360"/>
      </w:pPr>
      <w:rPr>
        <w:rFonts w:hint="default" w:ascii="Courier New" w:hAnsi="Courier New" w:cs="Courier New"/>
      </w:rPr>
    </w:lvl>
    <w:lvl w:ilvl="8" w:tplc="04070005" w:tentative="true">
      <w:start w:val="1"/>
      <w:numFmt w:val="bullet"/>
      <w:lvlText w:val="§"/>
      <w:lvlJc w:val="left"/>
      <w:pPr>
        <w:ind w:star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FD6"/>
    <w:rsid w:val="000023E9"/>
    <w:rsid w:val="0002317D"/>
    <w:rsid w:val="00101F75"/>
    <w:rsid w:val="001D6477"/>
    <w:rsid w:val="00397567"/>
    <w:rsid w:val="003C19C9"/>
    <w:rsid w:val="00503FFA"/>
    <w:rsid w:val="00627ADC"/>
    <w:rsid w:val="006C4827"/>
    <w:rsid w:val="007C459E"/>
    <w:rsid w:val="00A05C56"/>
    <w:rsid w:val="00A71903"/>
    <w:rsid w:val="00AE2B81"/>
    <w:rsid w:val="00B9284F"/>
    <w:rsid w:val="00C205D1"/>
    <w:rsid w:val="00C534E6"/>
    <w:rsid w:val="00C60E18"/>
    <w:rsid w:val="00CB20A5"/>
    <w:rsid w:val="00D2736E"/>
    <w:rsid w:val="00E81F93"/>
    <w:rsid w:val="00F202F1"/>
    <w:rsid w:val="00F33FD6"/>
    <w:rsid w:val="00F67ED1"/>
    <w:rsid w:val="00FE2F5D"/>
    <w:rsid w:val="00FF498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Standard" w:default="true">
    <w:name w:val="Normal"/>
    <w:qFormat/>
  </w:style>
  <w:style w:type="character" w:styleId="Absatz-Standardschriftart" w:default="true">
    <w:name w:val="Default Paragraph Font"/>
    <w:uiPriority w:val="1"/>
    <w:semiHidden/>
    <w:unhideWhenUsed/>
  </w:style>
  <w:style w:type="table" w:styleId="NormaleTabelle" w:default="true">
    <w:name w:val="Normal Table"/>
    <w:uiPriority w:val="99"/>
    <w:semiHidden/>
    <w:unhideWhenUsed/>
    <w:tblPr>
      <w:tblInd w:w="0" w:type="dxa"/>
      <w:tblCellMar>
        <w:top w:w="0" w:type="dxa"/>
        <w:left w:w="108" w:type="dxa"/>
        <w:bottom w:w="0" w:type="dxa"/>
        <w:right w:w="108" w:type="dxa"/>
      </w:tblCellMar>
    </w:tblPr>
  </w:style>
  <w:style w:type="numbering" w:styleId="KeineListe" w:default="true">
    <w:name w:val="No List"/>
    <w:uiPriority w:val="99"/>
    <w:semiHidden/>
    <w:unhideWhenUsed/>
  </w:style>
  <w:style w:type="paragraph" w:styleId="Kopfzeile">
    <w:name w:val="header"/>
    <w:basedOn w:val="Standard"/>
    <w:link w:val="KopfzeileZchn"/>
    <w:uiPriority w:val="99"/>
    <w:unhideWhenUsed/>
    <w:rsid w:val="00F33FD6"/>
    <w:pPr>
      <w:tabs>
        <w:tab w:val="center" w:pos="4536"/>
        <w:tab w:val="right" w:pos="9072"/>
      </w:tabs>
      <w:spacing w:after="0" w:line="240" w:lineRule="auto"/>
    </w:pPr>
  </w:style>
  <w:style w:type="character" w:styleId="KopfzeileZchn" w:customStyle="true">
    <w:name w:val="Kopfzeile Zchn"/>
    <w:basedOn w:val="Absatz-Standardschriftart"/>
    <w:link w:val="Kopfzeile"/>
    <w:uiPriority w:val="99"/>
    <w:rsid w:val="00F33FD6"/>
  </w:style>
  <w:style w:type="paragraph" w:styleId="Fuzeile">
    <w:name w:val="footer"/>
    <w:basedOn w:val="Standard"/>
    <w:link w:val="FuzeileZchn"/>
    <w:uiPriority w:val="99"/>
    <w:unhideWhenUsed/>
    <w:rsid w:val="00F33FD6"/>
    <w:pPr>
      <w:tabs>
        <w:tab w:val="center" w:pos="4536"/>
        <w:tab w:val="right" w:pos="9072"/>
      </w:tabs>
      <w:spacing w:after="0" w:line="240" w:lineRule="auto"/>
    </w:pPr>
  </w:style>
  <w:style w:type="character" w:styleId="FuzeileZchn" w:customStyle="true">
    <w:name w:val="Fußzeile Zchn"/>
    <w:basedOn w:val="Absatz-Standardschriftart"/>
    <w:link w:val="Fuzeile"/>
    <w:uiPriority w:val="99"/>
    <w:rsid w:val="00F33FD6"/>
  </w:style>
  <w:style w:type="paragraph" w:styleId="Sprechblasentext">
    <w:name w:val="Balloon Text"/>
    <w:basedOn w:val="Standard"/>
    <w:link w:val="SprechblasentextZchn"/>
    <w:uiPriority w:val="99"/>
    <w:semiHidden/>
    <w:unhideWhenUsed/>
    <w:rsid w:val="00F33FD6"/>
    <w:pPr>
      <w:spacing w:after="0" w:line="240" w:lineRule="auto"/>
    </w:pPr>
    <w:rPr>
      <w:rFonts w:ascii="Tahoma" w:hAnsi="Tahoma" w:cs="Tahoma"/>
      <w:sz w:val="16"/>
      <w:szCs w:val="16"/>
    </w:rPr>
  </w:style>
  <w:style w:type="character" w:styleId="SprechblasentextZchn" w:customStyle="true">
    <w:name w:val="Sprechblasentext Zchn"/>
    <w:basedOn w:val="Absatz-Standardschriftart"/>
    <w:link w:val="Sprechblasentext"/>
    <w:uiPriority w:val="99"/>
    <w:semiHidden/>
    <w:rsid w:val="00F33FD6"/>
    <w:rPr>
      <w:rFonts w:ascii="Tahoma" w:hAnsi="Tahoma" w:cs="Tahoma"/>
      <w:sz w:val="16"/>
      <w:szCs w:val="16"/>
    </w:rPr>
  </w:style>
  <w:style w:type="character" w:styleId="Hyperlink">
    <w:name w:val="Hyperlink"/>
    <w:basedOn w:val="Absatz-Standardschriftart"/>
    <w:uiPriority w:val="99"/>
    <w:unhideWhenUsed/>
    <w:rsid w:val="00F33FD6"/>
    <w:rPr>
      <w:color w:val="0000FF" w:themeColor="hyperlink"/>
      <w:u w:val="single"/>
    </w:rPr>
  </w:style>
  <w:style w:type="table" w:styleId="Tabellenraster">
    <w:name w:val="Table Grid"/>
    <w:basedOn w:val="NormaleTabelle"/>
    <w:uiPriority w:val="59"/>
    <w:rsid w:val="00F33F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titelsize" w:customStyle="true">
    <w:name w:val="text_titel_size"/>
    <w:basedOn w:val="Absatz-Standardschriftart"/>
    <w:rsid w:val="00E81F93"/>
  </w:style>
  <w:style w:type="character" w:styleId="edit" w:customStyle="true">
    <w:name w:val="edit"/>
    <w:basedOn w:val="Absatz-Standardschriftart"/>
    <w:rsid w:val="00A71903"/>
  </w:style>
  <w:style w:type="paragraph" w:styleId="Listenabsatz">
    <w:name w:val="List Paragraph"/>
    <w:basedOn w:val="Standard"/>
    <w:uiPriority w:val="34"/>
    <w:qFormat/>
    <w:rsid w:val="00FF4982"/>
    <w:pPr>
      <w:spacing w:after="160" w:line="259" w:lineRule="auto"/>
      <w:ind w:start="720"/>
      <w:contextualSpacing/>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hAnsiTheme="minorHAnsi" w:eastAsiaTheme="minorHAnsi" w:cstheme="minorBidi"/>
        <w:sz w:val="22"/>
        <w:szCs w:val="22"/>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Standard" w:default="true">
    <w:name w:val="Normal"/>
    <w:qFormat/>
  </w:style>
  <w:style w:type="character" w:styleId="Absatz-Standardschriftart" w:default="true">
    <w:name w:val="Default Paragraph Font"/>
    <w:uiPriority w:val="1"/>
    <w:semiHidden/>
    <w:unhideWhenUsed/>
  </w:style>
  <w:style w:type="table" w:styleId="NormaleTabelle" w:default="true">
    <w:name w:val="Normal Table"/>
    <w:uiPriority w:val="99"/>
    <w:semiHidden/>
    <w:unhideWhenUsed/>
    <w:tblPr>
      <w:tblInd w:w="0" w:type="dxa"/>
      <w:tblCellMar>
        <w:top w:w="0" w:type="dxa"/>
        <w:left w:w="108" w:type="dxa"/>
        <w:bottom w:w="0" w:type="dxa"/>
        <w:right w:w="108" w:type="dxa"/>
      </w:tblCellMar>
    </w:tblPr>
  </w:style>
  <w:style w:type="numbering" w:styleId="KeineListe" w:default="true">
    <w:name w:val="No List"/>
    <w:uiPriority w:val="99"/>
    <w:semiHidden/>
    <w:unhideWhenUsed/>
  </w:style>
  <w:style w:type="paragraph" w:styleId="Kopfzeile">
    <w:name w:val="header"/>
    <w:basedOn w:val="Standard"/>
    <w:link w:val="KopfzeileZchn"/>
    <w:uiPriority w:val="99"/>
    <w:unhideWhenUsed/>
    <w:rsid w:val="00F33FD6"/>
    <w:pPr>
      <w:tabs>
        <w:tab w:val="center" w:pos="4536"/>
        <w:tab w:val="right" w:pos="9072"/>
      </w:tabs>
      <w:spacing w:after="0" w:line="240" w:lineRule="auto"/>
    </w:pPr>
  </w:style>
  <w:style w:type="character" w:styleId="KopfzeileZchn" w:customStyle="true">
    <w:name w:val="Kopfzeile Zchn"/>
    <w:basedOn w:val="Absatz-Standardschriftart"/>
    <w:link w:val="Kopfzeile"/>
    <w:uiPriority w:val="99"/>
    <w:rsid w:val="00F33FD6"/>
  </w:style>
  <w:style w:type="paragraph" w:styleId="Fuzeile">
    <w:name w:val="footer"/>
    <w:basedOn w:val="Standard"/>
    <w:link w:val="FuzeileZchn"/>
    <w:uiPriority w:val="99"/>
    <w:unhideWhenUsed/>
    <w:rsid w:val="00F33FD6"/>
    <w:pPr>
      <w:tabs>
        <w:tab w:val="center" w:pos="4536"/>
        <w:tab w:val="right" w:pos="9072"/>
      </w:tabs>
      <w:spacing w:after="0" w:line="240" w:lineRule="auto"/>
    </w:pPr>
  </w:style>
  <w:style w:type="character" w:styleId="FuzeileZchn" w:customStyle="true">
    <w:name w:val="Fußzeile Zchn"/>
    <w:basedOn w:val="Absatz-Standardschriftart"/>
    <w:link w:val="Fuzeile"/>
    <w:uiPriority w:val="99"/>
    <w:rsid w:val="00F33FD6"/>
  </w:style>
  <w:style w:type="paragraph" w:styleId="Sprechblasentext">
    <w:name w:val="Balloon Text"/>
    <w:basedOn w:val="Standard"/>
    <w:link w:val="SprechblasentextZchn"/>
    <w:uiPriority w:val="99"/>
    <w:semiHidden/>
    <w:unhideWhenUsed/>
    <w:rsid w:val="00F33FD6"/>
    <w:pPr>
      <w:spacing w:after="0" w:line="240" w:lineRule="auto"/>
    </w:pPr>
    <w:rPr>
      <w:rFonts w:ascii="Tahoma" w:hAnsi="Tahoma" w:cs="Tahoma"/>
      <w:sz w:val="16"/>
      <w:szCs w:val="16"/>
    </w:rPr>
  </w:style>
  <w:style w:type="character" w:styleId="SprechblasentextZchn" w:customStyle="true">
    <w:name w:val="Sprechblasentext Zchn"/>
    <w:basedOn w:val="Absatz-Standardschriftart"/>
    <w:link w:val="Sprechblasentext"/>
    <w:uiPriority w:val="99"/>
    <w:semiHidden/>
    <w:rsid w:val="00F33FD6"/>
    <w:rPr>
      <w:rFonts w:ascii="Tahoma" w:hAnsi="Tahoma" w:cs="Tahoma"/>
      <w:sz w:val="16"/>
      <w:szCs w:val="16"/>
    </w:rPr>
  </w:style>
  <w:style w:type="character" w:styleId="Hyperlink">
    <w:name w:val="Hyperlink"/>
    <w:basedOn w:val="Absatz-Standardschriftart"/>
    <w:uiPriority w:val="99"/>
    <w:unhideWhenUsed/>
    <w:rsid w:val="00F33FD6"/>
    <w:rPr>
      <w:color w:val="0000FF" w:themeColor="hyperlink"/>
      <w:u w:val="single"/>
    </w:rPr>
  </w:style>
  <w:style w:type="table" w:styleId="Tabellenraster">
    <w:name w:val="Table Grid"/>
    <w:basedOn w:val="NormaleTabelle"/>
    <w:uiPriority w:val="59"/>
    <w:rsid w:val="00F33F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titelsize" w:customStyle="true">
    <w:name w:val="text_titel_size"/>
    <w:basedOn w:val="Absatz-Standardschriftart"/>
    <w:rsid w:val="00E81F93"/>
  </w:style>
  <w:style w:type="character" w:styleId="edit" w:customStyle="true">
    <w:name w:val="edit"/>
    <w:basedOn w:val="Absatz-Standardschriftart"/>
    <w:rsid w:val="00A71903"/>
  </w:style>
  <w:style w:type="paragraph" w:styleId="Listenabsatz">
    <w:name w:val="List Paragraph"/>
    <w:basedOn w:val="Standard"/>
    <w:uiPriority w:val="34"/>
    <w:qFormat/>
    <w:rsid w:val="00FF4982"/>
    <w:pPr>
      <w:spacing w:after="160" w:line="259" w:lineRule="auto"/>
      <w:ind w:start="720"/>
      <w:contextualSpacing/>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reativecommons.org/licenses/" TargetMode="External" Id="Rd8f290afaf03463d" /><Relationship Type="http://schemas.openxmlformats.org/officeDocument/2006/relationships/hyperlink" Target="https://transition-news.org/us-kriminalbeamtin-halfte-der-falle-von-plotzlichem-kindstod-innerhalb-von-48" TargetMode="External" Id="R5c7cf86a14b9419e" /><Relationship Type="http://schemas.openxmlformats.org/officeDocument/2006/relationships/hyperlink" Target="https://childrenshealthdefense.org/defender/half-sids-cases-occurred-within-48-hours-vaccination-former-police-detective/" TargetMode="External" Id="R5a3c5926404843e0" /><Relationship Type="http://schemas.openxmlformats.org/officeDocument/2006/relationships/hyperlink" Target="https://vetopedia.org/de/freimaurer/list/101" TargetMode="External" Id="R96f33912ae354099" /><Relationship Type="http://schemas.openxmlformats.org/officeDocument/2006/relationships/hyperlink" Target="https://de.wikipedia.org/wiki/Vaccine_Adverse_Event_Reporting_System" TargetMode="External" Id="R0266362ac22347a5" /><Relationship Type="http://schemas.openxmlformats.org/officeDocument/2006/relationships/hyperlink" Target="https://www.kla.tv/42587" TargetMode="External" Id="R61deea8baaf84b44" /><Relationship Type="http://schemas.openxmlformats.org/officeDocument/2006/relationships/hyperlink" Target="https://pubmed.ncbi.nlm.nih.gov/34258234/" TargetMode="External" Id="R93765d681dc74b54" /><Relationship Type="http://schemas.openxmlformats.org/officeDocument/2006/relationships/hyperlink" Target="https://www.sciencedirect.com/science/article/pii/S2214750021001268" TargetMode="External" Id="Rc77b7e224988485d" /><Relationship Type="http://schemas.openxmlformats.org/officeDocument/2006/relationships/hyperlink" Target="https://journals.sagepub.com/doi/10.1177/0960327111407644" TargetMode="External" Id="R016bf5cb12914f8b" /><Relationship Type="http://schemas.openxmlformats.org/officeDocument/2006/relationships/hyperlink" Target="https://journals.sagepub.com/doi/10.1177/0960327112440111" TargetMode="External" Id="Rf314c05cbfc446da" /><Relationship Type="http://schemas.openxmlformats.org/officeDocument/2006/relationships/hyperlink" Target="https://www.sec.gov/Archives/edgar/data/200406/000020040626000063" TargetMode="External" Id="Rcf03e1eff75d41fc" /><Relationship Type="http://schemas.openxmlformats.org/officeDocument/2006/relationships/hyperlink" Target="https://www.investing.com/equities/pfizer-ownership" TargetMode="External" Id="Rc77439206c344c4c" /><Relationship Type="http://schemas.openxmlformats.org/officeDocument/2006/relationships/hyperlink" Target="https://www.sec.gov/Archives/edgar/data/59478/000005947826000021/lly-20260306.htm" TargetMode="External" Id="R2b0b525d58184a7d" /><Relationship Type="http://schemas.openxmlformats.org/officeDocument/2006/relationships/hyperlink" Target="https://www.kla.tv/Vakzinaziya" TargetMode="External" Id="R05b22a16eb184a02" /><Relationship Type="http://schemas.openxmlformats.org/officeDocument/2006/relationships/hyperlink" Target="https://www.kla.tv/BigPharma" TargetMode="External" Id="R8ea5248301c04aa4" /><Relationship Type="http://schemas.openxmlformats.org/officeDocument/2006/relationships/hyperlink" Target="https://www.kla.tv/MedijnyjKommentarij" TargetMode="External" Id="R39e854066c7547c6" /><Relationship Type="http://schemas.openxmlformats.org/officeDocument/2006/relationships/hyperlink" Target="https://www.kla.tv/ZdorovyeMedicina" TargetMode="External" Id="Rf7ec2679ceee4cd9" /><Relationship Type="http://schemas.openxmlformats.org/officeDocument/2006/relationships/hyperlink" Target="https://www.kla.tv/ru" TargetMode="External" Id="R24448e3d665f416b" /><Relationship Type="http://schemas.openxmlformats.org/officeDocument/2006/relationships/hyperlink" Target="https://www.kla.tv/ru" TargetMode="External" Id="Rafd7a97fa7d048d0" /><Relationship Type="http://schemas.openxmlformats.org/officeDocument/2006/relationships/hyperlink" Target="https://www.kla.tv/abo-ru" TargetMode="External" Id="Re85a1302c9454cb9" /><Relationship Type="http://schemas.openxmlformats.org/officeDocument/2006/relationships/hyperlink" Target="https://www.kla.tv/vernetzung&amp;lang=ru" TargetMode="External" Id="R0920ce2b6c384165" /><Relationship Type="http://schemas.openxmlformats.org/officeDocument/2006/relationships/hyperlink" Target="https://www.kla.tv/licence" TargetMode="External" Id="Rbc0c147c0dc6433c" /><Relationship Type="http://schemas.openxmlformats.org/officeDocument/2006/relationships/hyperlink" Target="https://www.kla.tv/licence" TargetMode="External" Id="Red34f11e35c54308" /><Relationship Type="http://schemas.openxmlformats.org/officeDocument/2006/relationships/footer" Target="/word/footer1.xml" Id="rId18" /><Relationship Type="http://schemas.microsoft.com/office/2007/relationships/stylesWithEffects" Target="/word/stylesWithEffects.xml" Id="rId3" /><Relationship Type="http://schemas.openxmlformats.org/officeDocument/2006/relationships/endnotes" Target="/word/endnotes.xml" Id="rId7" /><Relationship Type="http://schemas.openxmlformats.org/officeDocument/2006/relationships/image" Target="/media/image.bin" Id="rId12" /><Relationship Type="http://schemas.openxmlformats.org/officeDocument/2006/relationships/header" Target="/word/header1.xml" Id="rId17" /><Relationship Type="http://schemas.openxmlformats.org/officeDocument/2006/relationships/styles" Target="/word/styles.xml" Id="rId2" /><Relationship Type="http://schemas.openxmlformats.org/officeDocument/2006/relationships/theme" Target="/word/theme/theme1.xml" Id="rId20" /><Relationship Type="http://schemas.openxmlformats.org/officeDocument/2006/relationships/numbering" Target="/word/numbering.xml" Id="rId1" /><Relationship Type="http://schemas.openxmlformats.org/officeDocument/2006/relationships/footnotes" Target="/word/footnotes.xml" Id="rId6" /><Relationship Type="http://schemas.openxmlformats.org/officeDocument/2006/relationships/webSettings" Target="/word/webSettings.xml" Id="rId5" /><Relationship Type="http://schemas.openxmlformats.org/officeDocument/2006/relationships/image" Target="/media/image2.bin" Id="rId10" /><Relationship Type="http://schemas.openxmlformats.org/officeDocument/2006/relationships/fontTable" Target="/word/fontTable.xml" Id="rId19" /><Relationship Type="http://schemas.openxmlformats.org/officeDocument/2006/relationships/settings" Target="/word/settings.xml" Id="rId4" /><Relationship Type="http://schemas.openxmlformats.org/officeDocument/2006/relationships/image" Target="/media/image3.bin" Id="rId9" /><Relationship Type="http://schemas.openxmlformats.org/officeDocument/2006/relationships/hyperlink" Target="https://www.kla.tv/43198" TargetMode="External" Id="rId8" /></Relationships>
</file>

<file path=word/_rels/header1.xml.rels>&#65279;<?xml version="1.0" encoding="utf-8"?><Relationships xmlns="http://schemas.openxmlformats.org/package/2006/relationships"><Relationship Type="http://schemas.openxmlformats.org/officeDocument/2006/relationships/image" Target="/media/image.bin" Id="rId3" /><Relationship Type="http://schemas.openxmlformats.org/officeDocument/2006/relationships/hyperlink" Target="https://www.kla.tv" TargetMode="External" Id="rId2" /><Relationship Type="http://schemas.openxmlformats.org/officeDocument/2006/relationships/hyperlink" Target="https://www.kla.tv/43198" TargetMode="External" Id="rId1" /></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Words>810</ap:Words>
  <ap:DocSecurity>0</ap:DocSecurity>
  <ap:ScaleCrop>false</ap:ScaleCrop>
  <ap:HeadingPairs>
    <vt:vector baseType="variant" size="2">
      <vt:variant>
        <vt:lpstr>Причина «синдрома внезапной детской смерти» раскрыта?</vt:lpstr>
      </vt:variant>
      <vt:variant>
        <vt:i4>1</vt:i4>
      </vt:variant>
    </vt:vector>
  </ap:HeadingPairs>
  <ap:TitlesOfParts>
    <vt:vector baseType="lpstr" size="1">
      <vt:lpstr/>
    </vt:vector>
  </ap:TitlesOfParts>
  <ap:Company>KLA.TV</ap:Company>
  <ap:LinksUpToDate>false</ap:LinksUpToDate>
  <ap:SharedDoc>false</ap:SharedDoc>
  <ap:HyperlinksChanged>false</ap:HyperlinksChanged>
</ap:Properties>
</file>