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11d6f25f7947d8" /><Relationship Type="http://schemas.openxmlformats.org/package/2006/relationships/metadata/core-properties" Target="/package/services/metadata/core-properties/38d550056c2641429eb7ba520582370d.psmdcp" Id="R88fc2b8a1c764d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Steuer auf Sparguthaben?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Steuer auf Sparguthaben hat in Spanien unlängst die direkte Enteignung der Sparer begonnen. Auch in Deutschland sei so eine Zwangsabgabe künftig denkbar, sagt der Ökonom Professor Max Otte...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der Steuer auf Sparguthaben hat in Spanien unlängst die direkte Enteignung</w:t>
        <w:br/>
        <w:t xml:space="preserve">der Sparer begonnen. Auch in Deutschland sei so eine Zwangsabgabe künftig denkbar,</w:t>
        <w:br/>
        <w:t xml:space="preserve">sagt der Ökonom Professor Max Otte. Bundesfinanzminister Wolfgang Schäuble</w:t>
        <w:br/>
        <w:t xml:space="preserve">habe längst entsprechende Pläne. Die Bundesregierung setze offenbar darauf,</w:t>
        <w:br/>
        <w:t xml:space="preserve">dass sich die Sparer alles gefallen ließen.</w:t>
        <w:br/>
        <w:t xml:space="preserve"/>
        <w:br/>
        <w:t xml:space="preserve">"Je größer die Verschuldung des Volkes, umso größer ist der Profit der Geldverleiher.“</w:t>
        <w:br/>
        <w:t xml:space="preserve">Vincent C. Vickers (1879–1939),von 1910–1919 Gouverneur der Bank von England</w:t>
        <w:br/>
        <w:t xml:space="preserve"/>
        <w:br/>
        <w:t xml:space="preserve">Quelle: Kopp exklusiv, Ausgabe 32/14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Kopp exklusiv, Ausgabe 32/14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1">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Steuer auf Sparguthaben?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MinuteAufDenPunk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Steuer auf Sparguthaben?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