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537dab3e1d480b" /><Relationship Type="http://schemas.openxmlformats.org/package/2006/relationships/metadata/core-properties" Target="/package/services/metadata/core-properties/416cbf94768642c6b1e03de180997da3.psmdcp" Id="Rb62c4b5e91414f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Child is listening long before birth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Child is listening long before birth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Child is listening long before birth</w:t>
        <w:br/>
        <w:t xml:space="preserve"/>
        <w:br/>
        <w:t xml:space="preserve">Even before birth, babies can dream, kiss, and feel. Observing fetuses, researchers discovered that their sensory perceptions are formed as early as the third week after conception. Their sense of touch, for example, is active from the eighth week on. The fetus cuddles the placenta and experiences touch from the outside, for example the hand of a mother or father on his or her belly. They are able to feel joy, fear and anger. Twins kiss and hug and some scuffle with each other. The hearing also plays a really important part from the seventeenth week on as the child perceives the heartbeat of the mother. Later her voice is deeply and distinctively impressed upon the child. Almost all the potential possibilities of a viable human being occur quite early in the womb of the mother.</w:t>
        <w:br/>
        <w:t xml:space="preserve">Closing Point:</w:t>
        <w:br/>
        <w:t xml:space="preserve">The mind, which unwaveringly believes in a beautiful distant goal, can preserve the life force which leads him beyond the everyday life.</w:t>
        <w:br/>
        <w:t xml:space="preserve">Gustav Stresemann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fe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Magazine of the Kolner Stadtanzeigerì from January 7th 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Child is listening long before birth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www.kla.tv/4579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7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Child is listening long before birth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