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a7e1a80ba742e4" /><Relationship Type="http://schemas.openxmlformats.org/package/2006/relationships/metadata/core-properties" Target="/package/services/metadata/core-properties/d716d576c7944c86867cb6c94a7dea38.psmdcp" Id="R1036b0b20bfc43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Enteignung als Normalfall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Staatsanleihen gelten als sichere Geldanlagen, jedenfalls so lange wie unsere Staatsmänner nicht der Spekulation und dem Rechtsbruch verfallen.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Staatsanleihen gelten als sichere  Geldanlagen, jedenfalls so lange wie unsere Staatsmänner nicht der Spekulation und  dem Rechtsbruch verfallen. Dies mussten in Griechenland unzählige Bürger und Kleinsparer bitter erfahren. Ihre Sparguthaben und Rentengelder wurden via Schuldenschnitt über Nacht beinahe halbiert. Sie wurden ganz legal enteignet. Dieser Schuldenschnitt, ursprünglich nur als Notoperation gedacht, wird künftig in allen neuen EU Staatsanleihen zur Norm, selbstverständlich gekoppelt an den Ausschluss des Rechtswegs und im Kleingedruckten mit weit reichendem Verzicht auf jegliche Entschädigung. Wer riecht hier nicht schon von weitem nächste geplante Zahlungsausfälle und die rücksichtslose Enteignung der eigenen Bürger.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http://www.krisenvorsorge.com/aktuell-cac-enteignung-im-kleingedruckten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Enteignung als Normalfall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risenvorsorge.com/aktuell-cac-enteignung-im-kleingedruckt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Enteignung als Normalfall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