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697f8ef90114865" /><Relationship Type="http://schemas.openxmlformats.org/package/2006/relationships/metadata/core-properties" Target="/package/services/metadata/core-properties/aa56ee52d9cb497a9b9667c070daab79.psmdcp" Id="R9bb62a2c039e46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Auch miteinander verflochtene [...]Großkonzernevermeiden Steuern!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Florian Hassel schreibt in „Die Welt“ vom 25.10.2011 über Forscher der Eidgenössischen Technischen Hochschule ETH, welche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Florian Hassel schreibt in „Die Welt“ vom 25.10.2011 über Forscher der Eidgenössischen Technischen Hochschule ETH, welche Beweise liefern, dass nationale Grenzen überschreitende Konzerne eng miteinander verflochten sind und die Weltwirtschaft beherrschen: Von 43.060 Konzernen dominieren 1.318 Firmen vier Fünftel der Weltwirtschaft. Die Elite der Elite besteht aus 147 Firmen, die über 40 %</w:t>
        <w:br/>
        <w:t xml:space="preserve">der Weltwirtschaft entscheiden. Die Top 50 werden vom britischen Finanzkonzern Barclays angeführt. Das Netzwerk steigert im Krisenfall die Ansteckungsgefahr für Probleme. Die Konzerne entziehen sich durch Verlagerung der Steuerpflicht. In der Rangliste ist die einflussreiche Verflechtung mit der Politik nicht erfasst. Die Bankiers mit dem größten</w:t>
        <w:br/>
        <w:t xml:space="preserve">Einfluss erscheinen meist nicht mit ihrem Namen, weil sie in vielen Banken bestimmend beteiligt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Originaltext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„Diese Firmen bestimmen Schicksal der Weltwirtschaft“, in: „Die Welt“ vom 25.10.2011 </w:t>
        <w:rPr>
          <w:sz w:val="18"/>
        </w:rPr>
      </w:r>
      <w:hyperlink w:history="true" r:id="rId21">
        <w:r w:rsidRPr="00F24C6F">
          <w:rPr>
            <w:rStyle w:val="Hyperlink"/>
          </w:rPr>
          <w:rPr>
            <w:sz w:val="18"/>
          </w:rPr>
          <w:t>www.welt.de/wirtschaft/article13680359/Diese-Firmen-bestimmen-Schicksal-der-Weltwirtschaft.html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Auch miteinander verflochtene [...]Großkonzernevermeiden Steuern!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wirtschaft/article13680359/Diese-Firmen-bestimmen-Schicksal-der-Weltwirtschaft.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Auch miteinander verflochtene [...]Großkonzernevermeiden Steuern!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