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41ada2860946fe" /><Relationship Type="http://schemas.openxmlformats.org/package/2006/relationships/metadata/core-properties" Target="/package/services/metadata/core-properties/a00ebab814504e03b85098a52aa3fc0d.psmdcp" Id="Raa2d0b137ff049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Deshalb kann Israel (fast) alles tun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Gazakrieg von 2008/2009 hatte Generalsekretär Ban Ki Moon eine UN-Untersuchung über den Beschuss von UN-Einrichtungen im Gazastreifen in Auftrag gegeben. Diese kam zu dem Schluss, dass 7 von 9 Zwischenfällen durch Militäraktionen der Israelischen Verteidigungsstreitkräfte verursacht worden waren. Die Kommission befand die israelische Regierung für schuldig. Jedoch...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"Deshalb kann Israel (fast) alles tun"</w:t>
        <w:br/>
        <w:t xml:space="preserve">Mit diesem Thema - meine sehr verehrten Damen und Herren - begrüße ich Sie herzlich bei Klagemauer -TV!  </w:t>
        <w:br/>
        <w:t xml:space="preserve">Nach dem Gazakrieg von 2008/2009 hatte Generalsekretär Ban Ki Moon eine UN-Untersuchung über den Beschuss von UN-Einrichtungen im Gazastreifen in Auftrag gegeben. </w:t>
        <w:br/>
        <w:t xml:space="preserve">Diese kam zu dem Schluss, dass 7 von 9 Zwischenfällen durch Militäraktionen der Israelischen Verteidigungsstreitkräfte verursacht worden waren. Die Kommission</w:t>
        <w:br/>
        <w:t xml:space="preserve">befand die israelische Regierung für schuldig. Darüber hinaus empfahl sie eine weitere</w:t>
        <w:br/>
        <w:t xml:space="preserve">Untersuchung zu den hundertfachen Morden an palästinensischen Zivilisten. </w:t>
        <w:br/>
        <w:t xml:space="preserve">Durch WikiLeaks wissen wir jetzt, was sich vor der vorgesehenen Übermittlung des Untersuchungsberichts an den UN-Sicherheitsrat abgespielt hat: </w:t>
        <w:br/>
        <w:t xml:space="preserve">Dieser Bericht wurde von den USA scharf attackiert. </w:t>
        <w:br/>
        <w:t xml:space="preserve">Die amerikanische Botschafterin Susan Rice tat alles, um Israel und auch die USA vor dem UN-Sicherheitsrat zu decken. Daraufhin ließ Ban Ki Moon die unerwünschten Teile des Berichts aus und bestätigte, dass eine für den UN-Sicherheitsrat „zufriedenstellende Anschrift“ mit den Israelis gefunden wurde. </w:t>
        <w:br/>
        <w:t xml:space="preserve">Angesichts solcher kriminell-parteiischen Praktiken darf es niemanden wundern, wenn Israel immer wieder, trotz Kriegsverbrechen wie 2014 in Gaza, ungestraft davonkommt.</w:t>
        <w:br/>
        <w:t xml:space="preserve">Hiermit verabschiede ich mich von Ihnen und wünsche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lw./cc.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http://the-wrong-enemy.blogspot.ch/2014/08/deshalb-kann-israel-fast-alles-tun.html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Deshalb kann Israel (fast) alles tun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the-wrong-enemy.blogspot.ch/2014/08/deshalb-kann-israel-fast-alles-tu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Deshalb kann Israel (fast) alles tun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