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43ef95aebe4905" /><Relationship Type="http://schemas.openxmlformats.org/package/2006/relationships/metadata/core-properties" Target="/package/services/metadata/core-properties/158fbc4d347b445689f77a46710343e7.psmdcp" Id="Rd78309fca79e4e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Großbritannien – Angst vor Irakkrieg – [...]Aufarbeitung?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britische Regierung unter dem konservativen Premierminister David Cameron ‚verschiebt’ die Veröffentlichung ihres eigenen ‚offiziellen’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britische Regierung unter dem konservativen Premierminister David Cameron‚verschiebt’ die Veröffentlichung ihres eigenen ‚offiziellen’ Untersuchungsberichts zum Irakkrieg bis zum Jahr 2014 oder noch darüber hinaus“, berichtete die Internetseite der britischen Tageszeitung Daily</w:t>
        <w:br/>
        <w:t xml:space="preserve">Mail. „Möglicherweise hängt die weitere Verschiebung teilweise damit zusammen, dass die damalige Regierung Blair vor dem Krieg ein Gutachten aller 27 Rechtsexperten des Auswärtigen Amtes vorliegen hatte, in dem der Krieg gegen den Irak als [völker-] rechtswidrig bezeichnet wurde.“ Demzufolge handelte es sich beim Irakkrieg doch um eine Straftat, die viele Menschen das Leben </w:t>
        <w:br/>
        <w:t xml:space="preserve">gekostet und bis heute massive, leidvolle Auswirkungen in der Bevölkerung hinterlassen hat (siehe S&amp;G Nr. 6/2012). Eine Aufarbeitung dieser Katastrophe ist daher mindestens genau so nötig, wie die Aufarbeitung der Kriegsverbrechen im ehemaligen Jugoslawien, zu denen der Internationale Strafgerichtshof in Den Haag, über viele Jahre hinweg gründlichst ermittelte.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http://info.kopp-verlag.de/hintergruende/geostrategie/carl-herman/der-chilcot-untersuchungsbericht-in-england-der-irakkrieg-war-nach-einhelliger-auffassung-von-recht.html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#Grossbritannien - </w:t>
      </w:r>
      <w:hyperlink w:history="true" r:id="rId22">
        <w:r w:rsidRPr="00F24C6F">
          <w:rPr>
            <w:rStyle w:val="Hyperlink"/>
          </w:rPr>
          <w:t>www.kla.tv/Grossbritannien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Großbritannien – Angst vor Irakkrieg – [...]Aufarbeitung?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carl-herman/der-chilcot-untersuchungsbericht-in-england-der-irakkrieg-war-nach-einhelliger-auffassung-von-recht.html" TargetMode="External" Id="rId21" /><Relationship Type="http://schemas.openxmlformats.org/officeDocument/2006/relationships/hyperlink" Target="https://www.kla.tv/Grossbritanni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Großbritannien – Angst vor Irakkrieg – [...]Aufarbeitung?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