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2f9b1f664042d9" /><Relationship Type="http://schemas.openxmlformats.org/package/2006/relationships/metadata/core-properties" Target="/package/services/metadata/core-properties/67aa302ca0c64c6bb5446fef13840190.psmdcp" Id="Rd933803a985046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Drehtüren der Finanzmarktaufsicht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den Bank- und Versicherungsdirektoren einerseits und deren Kontrollbehörden andererseits handelt es sich wechselweise zumeist um ein und denselben Personenkreis.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den Bank- und Versicherungsdirektoren einerseits und deren Kontrollbehörden andererseits handelt es sich wechselweise zumeist um ein und denselben Personenkreis. Dieses daraus resultierende eifrige Hin- und Herpendeln zwischen den Aufgabenbereichen </w:t>
        <w:br/>
        <w:t xml:space="preserve">wird auch „Drehtür-Mechanismus“ genannt. Ein Beispiel: Seit einigen Jahren ist Monica Mächler als Vize-Präsidentin bei der Finanzmarktaufsicht (FINMA) der Schweiz tätig. Zuvor war sie einige Jahre in hoher Stellung als Juristin bei der „Zürich-Versicherung“ beschäftigt, die ihr bereits wieder einen neuen Arbeitsvertrag fürs Frühjahr 2013 zugeschoben hat. Praktisch zeitgleich mit ihrem (baldigen) Ausscheiden schob die FINMA die geplante schärfere Versicherungsaufsicht auf die lange Bank. Türe auf und Türe zu, den Schaden tragen, wie immer, ich und du.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http://insideparadeplatz.ch/2012/10/01/4401/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Drehtüren der Finanzmarktaufsicht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sideparadeplatz.ch/2012/10/01/440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Drehtüren der Finanzmarktaufsicht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