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0dc32973754ab9" /><Relationship Type="http://schemas.openxmlformats.org/package/2006/relationships/metadata/core-properties" Target="/package/services/metadata/core-properties/5c77e0b030ad48faa9e0812b95aecfbe.psmdcp" Id="Rad9685e836cd44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Mit zweitbester Kundin vorsichtiger umgehen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 exportierte 2013 Waren und Dienstleistungen im Wert von SFr. 170 Milliarden in die Schweiz. Die Exporte der Schweiz in die EU beliefen sich 2013 auf SFr. 95 Milliarden. Das heißt:…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 exportierte 2013 Waren und Dienstleistungen im Wert von SFr. 170 Milliarden in die Schweiz. Die Exporte der Schweiz in die EU beliefen sich 2013 auf SFr. 95 Milliarden. Das heißt: Die EU erzielte 2013 gegenüber der Schweiz einen Exportüberschuss von nicht weniger als SFr. 75 Milliarden – ein sehr bedeutender Betrag auch für die EU, zumal Schweizer Firmen, die Waren aus der EU beziehen, diese auch zu bezahlen in der Lage sind. Mit diesen Zahlen aus der realen Wirtschaft, ist die Schweiz die zweitbeste Kundin der EU nach den USA und noch vor China und Japan. Dies könnte allenfalls gar eingefleischte Brüsseler Bürokraten veranlassen, mit Drohungen und Erpressungen an die Adresse ihrer sehr guten Kundin Schweiz etwas vorsichtiger umzugehen.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http://eu-no.ch/news/binnenmarkt_15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Mit zweitbester Kundin vorsichtiger umgehen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binnenmarkt_15"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Mit zweitbester Kundin vorsichtiger umgehen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