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786b11473b54f43" /><Relationship Type="http://schemas.openxmlformats.org/package/2006/relationships/metadata/core-properties" Target="/package/services/metadata/core-properties/c97e9c13308c4813b9dad964f5a74822.psmdcp" Id="Ra84a27a728d8407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Erpressung durch Guillotine-Klausel</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Guillotine – ein Fallbeil –  ein Werkzeug für jene, die durch Macht und Schrecken an sich binden wollen. Mit dieser von der EU durchgesetzten Guillotine-Klausel kettet sie alle Verträge zwischen der Schweiz und der EU aneinander. Somit wollte Brüssel verhindern, dass die Schweiz mit seiner direkten Demokratie nur einzelne der vereinbarten Verträge in Kraft setzen kann...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Guten Abend.</w:t>
        <w:br/>
        <w:t xml:space="preserve">Die Guillotine – ein Fallbeil –  ein Werkzeug für jene, die durch Macht und Schrecken an sich binden wollen</w:t>
        <w:br/>
        <w:t xml:space="preserve">und deshalb ein passender Name für die Guillotine-Klausel zwischen der Schweiz und der EU.</w:t>
        <w:br/>
        <w:t xml:space="preserve"/>
        <w:br/>
        <w:t xml:space="preserve">Die Guillotine-Klausel kettet alle Verträge zwischen der Schweiz und der EU aneinander, die im ersten bilateralen Paket 2001 in Kraft getreten sind. Mit dieser von der EU durchgesetzten Guillotine-Klausel wollte Brüssel verhindern, dass die Schweiz mit seiner direkten Demokratie nur einzelne der vereinbarten Verträge in Kraft setzen kann. </w:t>
        <w:br/>
        <w:t xml:space="preserve">Diese Klausel kommt somit einem Erpressungsinstrument gleich, da es die Drohung der Kündigung aller anderen sechs Verträge beinhaltet, falls die Schweiz einen der sieben Verträge, zum Beispiel Personenfreizügigkeit, kündigen möchte.</w:t>
        <w:br/>
        <w:t xml:space="preserve">Im Vertrauen darauf, dass wir alle unser gesundes Unterscheidungsvermögen in Sachen EU-Politik nicht verloren haben, verbreiten Sie bitte unsere Sendereihe zum schleichenden</w:t>
        <w:br/>
        <w:t xml:space="preserve">EU-Beitritt und hören Sie sich den Schlussbeitrag aus dem Studio Chur an.</w:t>
        <w:br/>
        <w:t xml:space="preserve"/>
        <w:br/>
        <w:t xml:space="preserve">Uf Wiederluege.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ft.</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http://eu-no.ch/artikel/guillotine-klausel_15</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Erpressung durch Guillotine-Klausel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www.kla.tv/4903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21.12.2014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eu-no.ch/artikel/guillotine-klausel_15"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90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90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Erpressung durch Guillotine-Klausel</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