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1730caa24a453e" /><Relationship Type="http://schemas.openxmlformats.org/package/2006/relationships/metadata/core-properties" Target="/package/services/metadata/core-properties/7fff9a6508874ed8b2beecbf15930f18.psmdcp" Id="R741a09e419954f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Terrormanagement - Ein kompliziertes Geschäft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Russia Today (Deutsch) im Interview mit Christoph Hörstel...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"Christoph Hörstel, Journalist, Regierungsberater und Publizist, hat selbst Führungskräfte der Bundeswehr in Terrormanagement ausgebildet. Auf Basis dieser Erfahrung sagt er: Terrorangst ist kein Zufall - sie wird von Regierungen gezielt eingesetzt. In Zeiten von Krisen und politischer Unsicherheit, managen Geheimdienste, zusammen mit den Regierungen, die Vorbereitung und Durchführung von Anschlägen. Es gibt keinen "Kampf gegen den Terror" - der Terror wird gemanagt."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Russia Today Deutsch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https://www.youtube.com/watch?v=-XdWQO_yHVU&amp;index=4&amp;list=TL-B1t4WLhVdM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Terrormanagement - Ein kompliziertes Geschäft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dWQO_yHVU&amp;index=4&amp;list=TL-B1t4WLhVdM"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Terrormanagement - Ein kompliziertes Geschäft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