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4c915c68be4a9c" /><Relationship Type="http://schemas.openxmlformats.org/package/2006/relationships/metadata/core-properties" Target="/package/services/metadata/core-properties/f069c05fc5ee414a917d6444db42c572.psmdcp" Id="Rd01c453ea64247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Agrarfabriken boomen und werden staatlich[...] subventioniert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vielen Regionen Deutschlands werden derzeit neue, immer größere Tierhaltungen gebaut oder bestehende Anlagen erweitert.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vielen Regionen Deutschlands werden derzeit neue, immer größere Tierhaltungen gebaut oder bestehende Anlagen erweitert. […] Die Tendenz geht dabei hin zu rasant steigenden Tierkonzentrationen in immer weniger agrarindustriellen Anlagen. Agrarfabriken mit Größenordnungen von rund 90.000 Schweinen, 800.000 Legehennen und 500.000 Masthähnchen befinden sich in Genehmigungsverfahren oder bereits in Betrieb. Mit Hilfe [und Geldern, Anm. Red.] der EU, der Bundes- und Landesregierungen sowie Verbänden der Agrar- und Ernährungsindustrie wachsen Tierhaltungskonzerne heran, deren Kern außerlandwirtschaftliche Investoren bilden. Landwirte [also die eigentlichen Fachleute, Anm. Red.] geraten dabei in die Rolle von abhängigen Lohnempfängern ohne Eigenständigkeit und Kontrolle über die Art der Tierhaltung und der Fütterung in ihren Ställen. […]“ So sterben kleine, handwerklich arbeitende landwirtschaftliche Betriebe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Forderungen des Netzwerkes „Bauernhöfe statt Agrarfabriken“ zur Eröffnung der 75. Internationalen Grünen Woche am  4.1.2010 in Berlin </w:t>
        <w:rPr>
          <w:sz w:val="18"/>
        </w:rPr>
      </w:r>
      <w:hyperlink w:history="true" r:id="rId21">
        <w:r w:rsidRPr="00F24C6F">
          <w:rPr>
            <w:rStyle w:val="Hyperlink"/>
          </w:rPr>
          <w:rPr>
            <w:sz w:val="18"/>
          </w:rPr>
          <w:t>http://www.bund.net/fileadmin/bundnet/pdfs/landwirtschaft/20100114_landwirtschaft_bauernhoefe_statt_agrarfabriken_netzwerk.pdf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Agrarfabriken boomen und werden staatlich[...] subventioniert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net/fileadmin/bundnet/pdfs/landwirtschaft/20100114_landwirtschaft_bauernhoefe_statt_agrarfabriken_netzwerk.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Agrarfabriken boomen und werden staatlich[...] subventioniert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