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344c08a9074d47" /><Relationship Type="http://schemas.openxmlformats.org/package/2006/relationships/metadata/core-properties" Target="/package/services/metadata/core-properties/2d1ebdacc79142e7bc0718dfe005402d.psmdcp" Id="Ra65baae9416544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 the anniversary of the events on the Maidan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year back from the 20th February the at first peaceful demonstrations on the Maidan in Kiew began to escalate. There were violent attacks and terroristic actions. A year ago, 100 people died, followed by thousands of others. Finally these events led to the putsch of the government of president Yanukovych. Still the people demand the investigation of these events on the Maidan.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ladies and gentlemen, I want to welcome you to our broadcast on the anniversary of the events on the Maidan of Ukraine. A year back from the 20th February the at first peaceful demonstrations on the Maidan in Kiew began to escalate. There were violent attacks and terroristic actions. A year ago, 100 people died, followed by thousands of others. Finally these events led to the putsch of the government of president Yanukovych. Still the people demand the investigation of these events on the Maidan. For this reason, Kla.TV shows the film clip “Terrorist Activities of peaceful Demonstrators” again. In this movie all is expressed, which may further the enlightenment of the circumstances of this violent putsch in Ukraine. If to you as well as to us the investigation of these events seems to be important, help to distribute our broadcasts.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Newsbroadcast 20th February, 2015, 8.00am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 the anniversary of the events on the Maidan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www.kla.tv/5394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9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 the anniversary of the events on the Maidan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