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0a85bb3ec14da4" /><Relationship Type="http://schemas.openxmlformats.org/package/2006/relationships/metadata/core-properties" Target="/package/services/metadata/core-properties/d725486461ce408e9f98e0198021abb6.psmdcp" Id="R5d66f9c7f2874e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Aufback-Journalismus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pensionierte Auslandsjournalist Georg Brunold* deckt in einem Interview den heutigen Journalismus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pensionierte Auslandsjournalist Georg Brunold* deckt in einem Interview den heutigen Journalismus auf: Es besteht absolut kein Interessen anspruchsvollen Texten, es wird kaum mehr „Feldarbeit“ gemacht, Korrespondenten recherchieren im Internet und „liefern schlechte Kopien früherer Reportagen ab“. Texte dürfen nichts mehr kosten und erklären somit auch nichts mehr „von Null auf“. Die Folge ist eine ständige Auffrischung des Altbekannten, das Resultat ein einziger Mainstream-Einheitsbrei von Informationen! »</w:t>
        <w:br/>
        <w:t xml:space="preserve">*Ab 1987 Mitarbeiter der Auslandsredaktion der Neuen Zürcher Zeitung, 1991 bis 1995 Korrespondent in Nairobi, Kenia.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clh.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Interview Thurgauer Zeitung 24.11.12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Aufback-Journalismus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Aufback-Journalismus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