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acc70076ad4003" /><Relationship Type="http://schemas.openxmlformats.org/package/2006/relationships/metadata/core-properties" Target="/package/services/metadata/core-properties/784ae993cf3b49ad9bbf9a1e53ff8225.psmdcp" Id="R61a7ed22d36942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Krippenbetreuung: Seelische Katastrophe?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Kleinkind,  das  noch  nicht in  der  Lage  ist,  die  Trennung von seiner primären Bezugsperson  rational  zu  bearbeiten,  erlebt  täglich  neu:  „Mama  geht weg,  und  kommt  nie  wieder“. Diese „seelischen Katastrophen“ bewirken  eine  kontinuierliche Traumatisierung,  die  sich  physisch  sogar  im  Gehirn  niederschlägt.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bereits im Dezember 2007 warnte  die  renommierte  Deutsche Psychoanalytische Vereinigung  (DPV)  eindringlich  vor den  Folgen  einer  externen  Betreuung von Unter-Dreijährigen. Denn  in  den  ersten  Lebensjahren  bildet  das  Kind  die Grundlage  für  sein  Selbstwertgefühl und seine Fähigkeit, tragfähige Beziehungen aufzubauen. Das  Kleinkind,  das  noch  nicht in  der  Lage  ist,  die  Trennung von seiner primären Bezugsperson  rational  zu  bearbeiten,  erlebt  täglich  neu:  „Mama  geht weg,  und  kommt  nie  wieder“. Diese „seelischen Katastrophen“ bewirken  eine  kontinuierliche Traumatisierung,  die  sich  physisch  sogar  im  Gehirn  niederschlägt.  Sehr geehrte Damen und Herren, machen sich nicht alle,  die  dies  wissen und trotzdem die flächendeckende  Krippenbetreuung  vorantreiben, der seelischen Zerstörung  der  kleinen  Kinder schuldig?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Vortrag von Prof. Dr. Leisenberg, Juli 2014, Bad Nauheim</w:t>
        <w:rPr>
          <w:sz w:val="18"/>
        </w:rPr>
      </w:r>
      <w:r w:rsidR="0026191C">
        <w:rPr/>
        <w:br/>
      </w:r>
      <w:hyperlink w:history="true" r:id="rId21">
        <w:r w:rsidRPr="00F24C6F">
          <w:rPr>
            <w:rStyle w:val="Hyperlink"/>
          </w:rPr>
          <w:rPr>
            <w:sz w:val="18"/>
          </w:rPr>
          <w:t>www.gemeindenetzwerk.org/?p=11191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Krippenbetreuung: Seelische Katastrophe?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meindenetzwerk.org/?p=11191"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Krippenbetreuung: Seelische Katastrophe?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