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609d756327143a7" /><Relationship Type="http://schemas.openxmlformats.org/package/2006/relationships/metadata/core-properties" Target="/package/services/metadata/core-properties/44573306bf774d02be1564f53dc35a36.psmdcp" Id="Rc04242ac8c2b409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CIA impiega l’arte moderna come arma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Questa trasmissione vi mostriamo che, l’arte moderna può essere utilizzata anche come arma. Dopo la seconda guerra mondiale, la CIA investì 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Stimate/i telespettatrici e telespettatori, benvenuti.</w:t>
        <w:br/>
        <w:t xml:space="preserve">In questa trasmissione vi mostriamo che, l’arte moderna può essere utilizzata anche come arma. </w:t>
        <w:br/>
        <w:t xml:space="preserve">Dopo la seconda guerra mondiale, la CIA investì somme immense per intrecciare una rete mondiale di cultura, come una delle più grandi operazioni del dopo guerra. </w:t>
        <w:br/>
        <w:t xml:space="preserve">Lanciò l’arte moderna nella direzione di rappresentare lo sgradevole e il disarmonico come degno di ammirazione. Questa creata nuova consapevolezza, dovrebbe aiutare a far sì che la società sia pronta a trapassare qualsiasi limite morale e culturale. Perciò questo spostamento delle norme artistiche, non è una questione di gusto o una discussione accademica, bensì una guerra pianificata contro la percezione naturale delle persone, e questa iniziata dalla CIA.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ft.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http://info.kopp-verlag.de/hintergruende/enthuellungen/gerhard-wisnewski/des-kaisers-neue-gemaelde-moderne-kunst-war-erfindung-der-cia.html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CIA impiega l’arte moderna come arma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www.kla.tv/6423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05.08.2015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info.kopp-verlag.de/hintergruende/enthuellungen/gerhard-wisnewski/des-kaisers-neue-gemaelde-moderne-kunst-war-erfindung-der-cia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6423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64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CIA impiega l’arte moderna come arma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