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636b4836294cdb" /><Relationship Type="http://schemas.openxmlformats.org/package/2006/relationships/metadata/core-properties" Target="/package/services/metadata/core-properties/3e3a90dc1ed94f8aaf0f78d86843dff3.psmdcp" Id="Rd1e5e2f3d23043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Kadınlar için Çip halinde hormonal doğum kontrolü</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Kadınlar için Çip halinde hormonal doğum kontrolü</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Kadınlar için Çip halinde hormonal doğum kontrolü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XX'dan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r w:rsidRPr="002B28C8">
        <w:t xml:space="preserve">Kaynak :</w:t>
        <w:rPr>
          <w:sz w:val="18"/>
        </w:rPr>
      </w:r>
      <w:r w:rsidR="0026191C">
        <w:rPr/>
        <w:br/>
      </w:r>
      <w:r w:rsidRPr="002B28C8">
        <w:t xml:space="preserve">Osservatore Romano, éd. allemande, nr. 36, 5.9.2014, „Auch ohne Zustimmung der Frau“, auteur: Lucetta Scaraffia |</w:t>
        <w:rPr>
          <w:sz w:val="18"/>
        </w:rPr>
      </w:r>
      <w:r w:rsidR="0026191C">
        <w:rPr/>
        <w:br/>
      </w:r>
      <w:hyperlink w:history="true" r:id="rId21">
        <w:r w:rsidRPr="00F24C6F">
          <w:rPr>
            <w:rStyle w:val="Hyperlink"/>
          </w:rPr>
          <w:rPr>
            <w:sz w:val="18"/>
          </w:rPr>
          <w:t>www.katholisches.info/2014/07/14/bill-gates-verhuetungs-chip-mit-fernbedienung-um-neues-leben-zu-verhindern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Kadınlar için Çip halinde hormonal doğum kontrolü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www.kla.tv/6718</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15.09.2015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atholisches.info/2014/07/14/bill-gates-verhuetungs-chip-mit-fernbedienung-um-neues-leben-zu-verhinder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18"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Kadınlar için Çip halinde hormonal doğum kontrolü</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