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936af82ac4a4dfb" /><Relationship Type="http://schemas.openxmlformats.org/package/2006/relationships/metadata/core-properties" Target="/package/services/metadata/core-properties/f1be28b1f0b44223b4946944064fdb8c.psmdcp" Id="R47625825f8ce403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Возрастающие поставки оружия из США через Германию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Уже с марта 2015 года можно наблюдать как большое количество морского груза с транспортными средствами, танками и другим тяжёлым вооружением из США, поступает Бременхафен, грузится на железнодорожные платформы и транспортируется через Германию.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Уже с марта 2015 года можно наблюдать как большое количество морского груза с транспортными средствами, танками и другим тяжёлым вооружением из США, поступает Бременхафен, грузится на железнодорожные платформы и транспортируется через Германию. Бундестаг и население конечно же никто не спрашивал. Один машинист локомотива сообщает об этом следующее: „Если в течение всей моей долголетней работы я сопроводил в общем и целом может быть 5 военных поездов, то с начала Украинского кризиса было уже 15 таких перевозок оружия НАТО “</w:t>
        <w:br/>
        <w:t xml:space="preserve">Министр обороны США Эштон Картер указал, что военное оборудование должно расположиться в Германии и других шести странах Восточной Европы. </w:t>
        <w:br/>
        <w:t xml:space="preserve">Это что же, война под американской режиссурой все-таки запланирована на европейской земле?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www.rtdeutsch.com/26569/inland/nato-militaertransporte-durchdeutschland-unmut-der-db-lokfuehrer-waechst/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Возрастающие поставки оружия из США через Германию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www.kla.tv/6781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tdeutsch.com/26569/inland/nato-militaertransporte-durchdeutschland-unmut-der-db-lokfuehrer-waechst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78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78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Возрастающие поставки оружия из США через Германию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