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9fed1ccd514d4f" /><Relationship Type="http://schemas.openxmlformats.org/package/2006/relationships/metadata/core-properties" Target="/package/services/metadata/core-properties/4a1b21e9a2d14451becdfd0d65e46dcd.psmdcp" Id="Rad2a79e0becf40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Lupta ipocrită împotriva foametei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Fundaţia Rockefeller a creat  aşa­zisa  „revoluţie  verde”, cu scopul oficial ca prin cultivarea de plante cu randament ridicat să rezolve problema foametei  în  lume.  Adevăratul  ţel  al acestei revoluţii constă însă în obţinerea controlului  asupra lanţului alimentar în lume.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Fundaţia Rockefeller a creat  aşa­zisa  „revoluţie  verde”, cu scopul oficial ca prin cultivarea de plante cu randament ridicat să rezolve problema foametei  în  lume.  Adevăratul  ţel  al acestei revoluţii constă însă în obţinerea controlului  asupra lanţului alimentar în lume. În acest scop au fost introduse aşa numitele „seminţe­hibrid”, precum  şi seminţele manipulate genetic. Acest soi de seminţe nu este germinativ şi îi pune pe agricultori în situaţia de a fi dependenţi de producătorii de seminţe,  nemaifiind  capabili să­şi producă propriile seminţe pentru culturile viitoare. Seminţele  germinative,  la  rândul  lor, sunt  patentate  şi  drepturile  de producţie se află în mâna câtorva concerne, conduse de Monsanto şi DuPonts Pioneer. Aceste concerne şi-au ancorat, prin înghiţirea  altor  producători  de seminţe,  poziţia  de  conducere atât  de  puternic,  încât  la  ora</w:t>
        <w:br/>
        <w:t xml:space="preserve">actuală două treimi din producţia  de  seminţe  germinative  pe plan mondial este controlată de zece  concerne.  Şi  acestea  își lărgesc monopolul  actualmente  prin  patentarea  de  seminţe convenţionale – fidel scopului: cine  controlează  seminţele, domneşte  asupra  lanţului  alimentar  şi  deci asupra  omenirii!</w:t>
        <w:br/>
        <w:t xml:space="preserve"/>
        <w:br/>
        <w:t xml:space="preserve">La revedere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http://info.kopp-verlag.de/hintergruende/geostrategie/f-william-engdahl/der-tresor-des-juengsten-gerichts-in-der-arktis.htmls</w:t>
        </w:r>
      </w:hyperlink>
      <w:r w:rsidR="0026191C">
        <w:rPr/>
        <w:br/>
      </w:r>
      <w:r w:rsidR="0026191C">
        <w:rPr/>
        <w:br/>
      </w:r>
      <w:hyperlink w:history="true" r:id="rId22">
        <w:r w:rsidRPr="00F24C6F">
          <w:rPr>
            <w:rStyle w:val="Hyperlink"/>
          </w:rPr>
          <w:rPr>
            <w:sz w:val="18"/>
          </w:rPr>
          <w:t>http://www.grin.com/de/e-book/152975/gentechnologie-als-beitrag-einer-modernen-agrarrevolution-zur-hunger-und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Lupta ipocrită împotriva foametei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www.kla.tv/7382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24.12.2015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f-william-engdahl/der-tresor-des-juengsten-gerichts-in-der-arktis.htmls" TargetMode="External" Id="rId21" /><Relationship Type="http://schemas.openxmlformats.org/officeDocument/2006/relationships/hyperlink" Target="http://www.grin.com/de/e-book/152975/gentechnologie-als-beitrag-einer-modernen-agrarrevolution-zur-hunger-un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8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Lupta ipocrită împotriva foametei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