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c9022a4cf443fc" /><Relationship Type="http://schemas.openxmlformats.org/package/2006/relationships/metadata/core-properties" Target="/package/services/metadata/core-properties/c1776eec7e334dd7b520a06f505fb396.psmdcp" Id="R675e9f432fad48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Güter- und Dienstleistungsaustausch mit der EU verliert an Bedeutung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Güter- und Dienstleistungsaustausch mit der EU verliert an Bedeutung. Diesen Verlust möchten wir Ihnen mit dieser Sendung nahe bringen. Herzlich Willkommen Der Schweizer Bundesrat und die Wirtschaftsverbände wollen der Öffentlichkeit immer wieder vermitteln, dass die bilateralen Verträge mit der EU für die Schweiz eine Existenzfrage seien. Tatsache ist jedoch, dass der Schweizer Güter- und Dienstleistungsaustausch mit der EU laufend an Bedeutung verliert, während derjenige mit der übrigen Welt immer wichtiger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Güter- und Dienstleistungsaustausch mit der EU verliert an Bedeutung. Diesen Verlust möchten wir Ihnen mit dieser Sendung nahe bringen. Herzlich Willkommen Der Schweizer Bundesrat und die Wirtschaftsverbände wollen der Öffentlichkeit immer wieder vermitteln, dass die bilateralen Verträge mit der EU für die Schweiz eine Existenzfrage seien. Tatsache ist jedoch, dass der Schweizer Güter- und Dienstleistungsaustausch mit der EU laufend an Bedeutung verliert, während derjenige mit der übrigen Welt immer wichtiger wird. </w:t>
        <w:br/>
        <w:t xml:space="preserve">Seit Inkrafttreten der Bilateralen I im Juni 2002 bis ins Jahr 2014, gingen die Exporte der Schweiz in die Länder der Europäischen Union gesamthaft von 63 auf 45 Prozent kontinuierlich zurück. Diese Entwicklung spiegelt die Tatsache, verehrte Zuschauerinnen und Zuschauer, dass die wirtschaftlich eher stagnierende EU weltweit laufend an Gewicht verliert. Die Zukunftsmärkte liegen also auch für die Schweiz in Fernost, in Süd- und Nordamerika und weniger in dem von der EU bürokratisierten Europa. Es folgt ein Beitrag zum gefährdeten Schweizer Tierschutzrecht.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http://eu-no.ch/news/sein-oder-nichtsein-fuer-die-schweiz_90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2">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Güter- und Dienstleistungsaustausch mit der EU verliert an Bedeutung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sein-oder-nichtsein-fuer-die-schweiz_90" TargetMode="External" Id="rId21" /><Relationship Type="http://schemas.openxmlformats.org/officeDocument/2006/relationships/hyperlink" Target="https://www.kla.tv/RahmenvertragCH-E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Güter- und Dienstleistungsaustausch mit der EU verliert an Bedeutung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