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7eba2ef998484c" /><Relationship Type="http://schemas.openxmlformats.org/package/2006/relationships/metadata/core-properties" Target="/package/services/metadata/core-properties/875295e8aaac466c956dd61bb0ed8491.psmdcp" Id="R735ab7411eac40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Strategia de conformare continuta în agenda teoriei de gen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Agenda sexelor este o strategie care vrea să desfiinţeze deosebirile dintre bărbaţi şi femei, cum ar fi de exemplu rolul mamelor cu normă întreagă.
De asemenea, este necesar să se elimine drepturile părinților asupra copiilor lor, precum și un sistem de cote de 50% de bărbaţi şi femei.
Această agendă este impusă de sus în jos prin colaborarea multor organizaţii şi guverne: 1): la nivelul Naţiunilor Unite, ONU; 2): la nivelul organizaţiilor neguvernamentale (ONG-uri); 3): la nivel guvernamental (de ex. UE); şi 4): pe plan social.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Agenda sexelor este o strategie care vrea să desfiinţeze deosebirile dintre bărbaţi şi femei, cum ar fi de exemplu rolul mamelor cu normă întreagă.</w:t>
        <w:br/>
        <w:t xml:space="preserve">De asemenea, este necesar să se elimine drepturile părinților asupra copiilor lor, precum și un sistem de cote de 50% de bărbaţi şi femei.</w:t>
        <w:br/>
        <w:t xml:space="preserve">Această agendă este impusă de sus în jos prin colaborarea multor organizaţii şi guverne: 1): la nivelul Naţiunilor Unite, ONU; 2): la nivelul organizaţiilor neguvernamentale (ONG-uri); 3): la nivel guvernamental (de ex. UE); şi 4): pe plan social. Astfel, noţiunea de „Gender-Mainstreaming“ a fost dezbătută în 1985 la a treia conferință mondială pentru femei, la Nairobi, iar zece ani mai târziu, la a patra conferință mondială pentru femei, la Peking, a fost dezvoltată mai departe.</w:t>
        <w:br/>
        <w:t xml:space="preserve">La nivelul UE se lucrează intensiv la ancorarea ideologiei de gen ca standard în toate statele membre, iar împotrivirea este sancţionată din ce în ce mai des. Pe plan social, "gender-mainstreaming-ul" este ridicat de către guvernele naţionale la nivelul de principiu de guvernământ.</w:t>
        <w:br/>
        <w:t xml:space="preserve">Ca un fir roşu, toate materialele şcolare se bazează din ce în ce mai mult pe ideologia de gen.</w:t>
        <w:br/>
        <w:t xml:space="preserve">Dale O'Leary descrie strategia de conformare a agendei sexelor după cum urmează: „Perspectiva genderelor nu apare ca o navă mare în larg, - deși urmează să fie ancorată în toate programele politice și publice, - ci mai degrabă ca un submarin care nu poate fi recunoscut prea exact.”</w:t>
        <w:br/>
        <w:t xml:space="preserve">Prin urmare, se lucrează pe ascuns la toate nivelurile pentru a jefui oamenii de identitatea lor sexuală, iar lipsa unei identităţi sexuale cauzează o slăbire masivă a personalităţii.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aa./dk.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http://www.kla.tv/6264</w:t>
        </w:r>
      </w:hyperlink>
      <w:r w:rsidR="0026191C">
        <w:rPr/>
        <w:br/>
      </w:r>
      <w:r w:rsidR="0026191C">
        <w:rPr/>
        <w:br/>
      </w:r>
      <w:hyperlink w:history="true" r:id="rId22">
        <w:r w:rsidRPr="00F24C6F">
          <w:rPr>
            <w:rStyle w:val="Hyperlink"/>
          </w:rPr>
          <w:rPr>
            <w:sz w:val="18"/>
          </w:rPr>
          <w:t>http://www.dijg.de/gender-mainstreaming/dale-o-leary-agenda-konzept-hintergrund/</w:t>
        </w:r>
      </w:hyperlink>
      <w:r w:rsidR="0026191C">
        <w:rPr/>
        <w:br/>
      </w:r>
      <w:r w:rsidRPr="002B28C8">
        <w:t xml:space="preserve">Carte scrisă de Gabriele Kuby (lb. germ.):„Gender, eine neue Ideologie zerstşrt die Familie” /Genul, o nouă ideologie, distruge familia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Strategia de conformare continuta în agenda teoriei de 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www.kla.tv/7722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14.02.2016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6264" TargetMode="External" Id="rId21" /><Relationship Type="http://schemas.openxmlformats.org/officeDocument/2006/relationships/hyperlink" Target="http://www.dijg.de/gender-mainstreaming/dale-o-leary-agenda-konzept-hintergrun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2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Strategia de conformare continuta în agenda teoriei de 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