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9ac77fa3fc41eb" /><Relationship Type="http://schemas.openxmlformats.org/package/2006/relationships/metadata/core-properties" Target="/package/services/metadata/core-properties/a803c1fe828e4c85b263a3875a0c2725.psmdcp" Id="R9c6cce7517b44e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MH370 – Einbahnstraße der 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Fund eines Wrackteils, das angeblich von dem seit dem 8.3.2014 verschwundenen Passagierflugzeug MH370 stammt, ist dieses Thema wieder präsent.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MH370 – Einbahnstraße der Überwachung</w:t>
        <w:br/>
        <w:t xml:space="preserve">Nach dem Fund eines Wrackteils, das angeblich von dem seit dem 8.3.2014 verschwundenen Passagierflugzeug MH370 stammt, ist dieses Thema wieder präsent. Doch nach wie vor werden der Öffentlichkeit durch Behörden, Unternehmen und Medien wesentliche Fakten vorenthalten: Sowohl Funkverkehr und Radardaten als auch sämtliche Aufzeichnungen des Flughafens wurden bis heute gesperrt, was bei derartigen Vorfällen äußerst ungewöhnlich ist. Ungewöhnlich ist auch, dass MH370, nachdem es den malaysischen Luftraum verlassen hatte, sein elektronisches Kennzeichen, den sogenannten Transponder, abschaltete. Bei den Suchaktionen weigerte sich der britische Mobilfunkdienst Inmarsat, die Rohdaten der Aufnahmen herauszugeben. Wem sollen dann die Überwachungsmaschinerie und deren -daten nützen? Gläserne Bürger – ja bitte; gläserne Behörden, Unternehmen und Medien – nein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Gerhard Wisnewski: „Verheimlicht, vertuscht, vergessen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1">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MH370 – Einbahnstraße der 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lobaleUeberwach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MH370 – Einbahnstraße der 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