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dfc8a0172ac4eac" /><Relationship Type="http://schemas.openxmlformats.org/package/2006/relationships/metadata/core-properties" Target="/package/services/metadata/core-properties/b1430731183b45d48f2355e4d5a4a2b5.psmdcp" Id="R998861780d72481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Annexionslügen sind nichts Neues . .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Trotzdem die Krimbewohner mit 98% „Ja“ zur Angehörigkeit Russlands stimmten, beschuldigt die jüngste Geschichtsschreibung Russland als aggressiven Dieb, der die Krim gleichsam annektiert, sprich - gewaltsam vereinnahmt habe.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Trotzdem die Krimbewohner mit 98% „Ja“ zur Angehörigkeit Russlands stimmten, beschuldigt die jüngste Geschichtsschreibung Russland als aggressiven Dieb, der die Krim gleichsam annektiert, sprich - gewaltsam vereinnahmt habe. Dass solche Geschichtslügen nicht neu sind, beweist der Deutschland-Verächter William L. Shirer, ein US-amerikanischer Historiker.</w:t>
        <w:br/>
        <w:t xml:space="preserve"/>
        <w:br/>
        <w:t xml:space="preserve">Er schrieb in „Aufstieg und Fall des Dritten Reiches“ von der „Vergewaltigung Österreichs“.</w:t>
        <w:br/>
        <w:t xml:space="preserve">Doch vom damaligen frenetischen Jubel der Österreicher und davon, dass 99% von ihnen 1938 dem Anschluss an das Deutsche Reich zugestimmt hatten, was ihm als Zeitzeugen nicht entgehen konnte, schrieb er nichts! Auch die „Vergewaltigung Österreichs“ muss daher als offenkundige Geschichtslüge bezeichnet werden, und die Qualität seines Buches hat irreparablen Schaden erlitten. Vielleicht aus Rache, weil das Deutsche Reich ihn im Herbst 1940 wegen Spionage anklagen und festsetzen wollte?</w:t>
        <w:br/>
        <w:t xml:space="preserve">Das Vorwort zur deutschen Ausgabe schrieb Golo Mann. Er war ein deutsch-schweizerischer Historiker, Publizist und Schriftsteller. Er wanderte 1939 über Frankreich und die Schweiz in die USA aus. Damals war die sogenannte Machtergreifung der Nationalsozialisten. Allerdings „ergriffen“ sie nicht die Macht, sondern sie wurden gewählt.</w:t>
        <w:br/>
        <w:t xml:space="preserve"/>
        <w:br/>
        <w:t xml:space="preserve">Als eine umfangreiche Ergänzung zum Thema Krim empfehlen wir Ihnen unseren Dokumentarfilm „Krim- der Weg in die Heimat“ (www.kla.tv/7980). Dieser Film veranschaulicht einerseits, wie zerstörerisch Annexionslügen sein können und anderseits, wie diametral dazu die Realität war.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„Recht+Freiheit“, Nr. 1/Februar 2016</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1">
        <w:r w:rsidRPr="00F24C6F">
          <w:rPr>
            <w:rStyle w:val="Hyperlink"/>
          </w:rPr>
          <w:t>www.kla.tv/Russland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Annexionslügen sind nichts Neues . .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www.kla.tv/8212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Russland"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21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2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Annexionslügen sind nichts Neues . .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