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7aed3b3c5343bd" /><Relationship Type="http://schemas.openxmlformats.org/package/2006/relationships/metadata/core-properties" Target="/package/services/metadata/core-properties/386b0470113d476fafcc7e23cbc4cd78.psmdcp" Id="R89672c42e7bb4c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Brexit: Pro-EU-Argumente widerlegt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Gastkommentar in der „Welt“ widerlegt der ehemalige CSU-Politiker Peter Gauweiler die  Argumente der EU-Befürworter. Keines der Pro-Argumente bleibt stichhaltig, nachdem Gauweiler es in kurzen, glasklaren Worten widerlegt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Gastkommentar in der „Welt“ widerlegt der ehemalige CSU-Politiker Peter Gauweiler die  Argumente der EU-Befürworter. Keines der Pro-Argumente bleibt stichhaltig, nachdem Gauweiler es in kurzen, glasklaren Worten widerlegt hat. So schrieb Gauweiler etwa, dass der Wohlstand in der EU nicht zugenommen habe, aber was angestiegen ist, seien die Konsumentenpreise und die Arbeitslosenzahlen. So werde der Mittelstand ausgeblutet. Das Konzept der EU sei „imperiales 19. Jahrhundert-Denken. Heute sind die erfolgreichsten Staaten Europas die kleineren Länder wie: Norwegen, die Schweiz, die EU-Mitglieder Holland und Dänemark - in Asien Singapur und Taiwan. Es kommt nicht auf die Gröβe an, sondern darauf, was man mit dem Land macht.[…] Mit der zusätzlichen Politebene der EU wird das Hin- und Herschieben von Verantwortung, wozu die Politik aller Ebenen ohnehin neigt, nochmals leichter gemacht.[…]  Es  wird höchste Zeit, dass wir uns die Motive, die angeblich immer noch für die EU in ihrer heutigen Form sprechen, genauer anschauen.“</w:t>
        <w:br/>
        <w:t xml:space="preserve">Der ehemalige Bundesverfassungsrichter in Deutschland, Udo Di Fabio definiert es so: „Die Freiheit der Bürger gilt seit Langem als zugedeckt durch bürokratische Brüsseler Regelungswut.“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http://www.welt.de/debatte/kommentare/article155964450/Diese-EU-verhindert-unsere-Freiheit.html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#Brexit - Brexit: "Politischer Selbstmord" oder gezielter Plan? - </w:t>
      </w:r>
      <w:hyperlink w:history="true" r:id="rId22">
        <w:r w:rsidRPr="00F24C6F">
          <w:rPr>
            <w:rStyle w:val="Hyperlink"/>
          </w:rPr>
          <w:t>www.kla.tv/Brexit</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Brexit: Pro-EU-Argumente widerlegt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debatte/kommentare/article155964450/Diese-EU-verhindert-unsere-Freiheit.html" TargetMode="External" Id="rId21" /><Relationship Type="http://schemas.openxmlformats.org/officeDocument/2006/relationships/hyperlink" Target="https://www.kla.tv/Brexi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Brexit: Pro-EU-Argumente widerlegt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